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b/>
                <w:sz w:val="21"/>
                <w:szCs w:val="21"/>
              </w:rPr>
              <w:t>河北海润观宇贸易有限公司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4" w:name="专业代码"/>
            <w:r>
              <w:rPr>
                <w:b/>
                <w:sz w:val="21"/>
                <w:szCs w:val="21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销售流程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：业务洽谈—合同评审—合同签订—供方评价--产品采购—验收—交付—货款结算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需确认过程：服务过程，有确认记录，见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Q8.5.1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包括固废废弃、宣传册的废弃、意外火灾、原材料损耗、资源的消耗等。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中华人民共和国消防法》、河北省环境保护条例、河北省消防条例、河北省安全生产条例、河北省重大危险源监督管理规定、河北省工伤保险实施办法机关、团体、企业、事业单位消防安全管理规定，控制措施及现状：已制定安全防火制度及应急预案。配备消防器材。重点场所标识禁火。定期巡查，消除隐患。每年进行一次消防演练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劳动法、中华人民共和国劳动合同法、中华人民共和国劳动合同法实施条例、中华人民共和国劳动保障监察条例、中华人民共和国未成年人保护法、工伤保险条例、职工带薪年休假条例、中华人民共和国妇女权益保障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控制措施及现状：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严格按法律法规执行，目前未有违规现象。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b/>
          <w:sz w:val="20"/>
          <w:lang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2020年6月21</w:t>
      </w:r>
      <w:bookmarkStart w:id="5" w:name="_GoBack"/>
      <w:bookmarkEnd w:id="5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F40E01"/>
    <w:rsid w:val="21B70331"/>
    <w:rsid w:val="355C073B"/>
    <w:rsid w:val="530E599B"/>
    <w:rsid w:val="664F4E4B"/>
    <w:rsid w:val="6673234A"/>
    <w:rsid w:val="691E3B6B"/>
    <w:rsid w:val="7BCB79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2020-06-25T03:32:49Z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