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河北海润观宇贸易有限公司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河北海润观宇贸易有限公司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河北省衡水市桃城区红旗大街792号衡水恒电物资经销处综合楼316房间</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河北省衡水市桃城区红旗大街792号衡水恒电物资经销处综合楼316房间</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郭党党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13161488555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郭党党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郭党党</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Q：建材（不含砂石料）、五金产品、电器设备、橡胶制品、土工布、灯具及体育用品的销售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E：建材（不含砂石料）、五金产品、电器设备、橡胶制品、土工布、灯具及体育用品的销售及相关环境管理活动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O：建材（不含砂石料）、五金产品、电器设备、橡胶制品、土工布、灯具及体育用品的销售及相关职业健康安全管理活动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管理层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员工代表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Theme="minorEastAsia" w:hAnsiTheme="minorEastAsia" w:eastAsiaTheme="minorEastAsia" w:cstheme="minorEastAsia"/>
                <w:sz w:val="21"/>
                <w:szCs w:val="21"/>
                <w:lang w:val="en-US" w:eastAsia="zh-CN"/>
              </w:rPr>
              <w:t>业务部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与供方、客户有关的策划、实施、放行、交付等质量、环境、安全职业健康安全管理活动安全运行控制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办公室（含财务）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p>
        </w:tc>
        <w:tc>
          <w:tcPr>
            <w:tcW w:w="6804" w:type="dxa"/>
            <w:vAlign w:val="top"/>
          </w:tcPr>
          <w:p>
            <w:pPr>
              <w:jc w:val="left"/>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71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9"/>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64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07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649" w:type="dxa"/>
          </w:tcPr>
          <w:p>
            <w:pPr>
              <w:rPr>
                <w:rFonts w:hint="eastAsia" w:eastAsia="宋体"/>
                <w:b/>
                <w:color w:val="000000" w:themeColor="text1"/>
                <w:sz w:val="20"/>
                <w:szCs w:val="20"/>
                <w:lang w:eastAsia="zh-CN"/>
              </w:rPr>
            </w:pPr>
            <w:r>
              <w:rPr>
                <w:rFonts w:hint="eastAsia"/>
                <w:b/>
                <w:color w:val="000000" w:themeColor="text1"/>
                <w:sz w:val="20"/>
                <w:szCs w:val="20"/>
                <w:lang w:eastAsia="zh-CN"/>
              </w:rPr>
              <w:t>销售服务</w:t>
            </w:r>
          </w:p>
        </w:tc>
        <w:tc>
          <w:tcPr>
            <w:tcW w:w="6070" w:type="dxa"/>
          </w:tcPr>
          <w:p>
            <w:pPr>
              <w:rPr>
                <w:rFonts w:hint="eastAsia" w:eastAsia="宋体"/>
                <w:b/>
                <w:color w:val="000000" w:themeColor="text1"/>
                <w:sz w:val="20"/>
                <w:szCs w:val="20"/>
                <w:lang w:eastAsia="zh-CN"/>
              </w:rPr>
            </w:pPr>
            <w:r>
              <w:rPr>
                <w:rFonts w:hint="eastAsia"/>
                <w:b/>
                <w:color w:val="000000" w:themeColor="text1"/>
                <w:sz w:val="20"/>
                <w:szCs w:val="20"/>
                <w:lang w:eastAsia="zh-CN"/>
              </w:rPr>
              <w:t>合同法、劳动法等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649" w:type="dxa"/>
          </w:tcPr>
          <w:p>
            <w:pPr>
              <w:rPr>
                <w:b/>
                <w:color w:val="000000" w:themeColor="text1"/>
                <w:sz w:val="20"/>
                <w:szCs w:val="20"/>
              </w:rPr>
            </w:pPr>
          </w:p>
        </w:tc>
        <w:tc>
          <w:tcPr>
            <w:tcW w:w="6070"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2019-11-05</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jc w:val="left"/>
              <w:rPr>
                <w:rFonts w:hint="default"/>
                <w:color w:val="auto"/>
                <w:szCs w:val="22"/>
                <w:lang w:val="en-US" w:eastAsia="zh-CN"/>
              </w:rPr>
            </w:pPr>
            <w:r>
              <w:rPr>
                <w:rFonts w:hint="eastAsia"/>
                <w:color w:val="auto"/>
                <w:szCs w:val="22"/>
                <w:lang w:val="en-US" w:eastAsia="zh-CN"/>
              </w:rPr>
              <w:t>河北海润观宇贸易有限公司位于河北省衡水市桃城区红旗大街792号衡水恒电物资经销处综合楼316房间，主要从事</w:t>
            </w:r>
            <w:r>
              <w:rPr>
                <w:rFonts w:hint="eastAsia"/>
                <w:color w:val="auto"/>
                <w:sz w:val="21"/>
                <w:szCs w:val="21"/>
              </w:rPr>
              <w:t>建材（不含砂石料）、五金产品、电器设备、橡胶制品、土工布、灯具及体育用品的销售</w:t>
            </w:r>
            <w:r>
              <w:rPr>
                <w:rFonts w:hint="eastAsia"/>
                <w:color w:val="auto"/>
                <w:sz w:val="21"/>
                <w:szCs w:val="21"/>
                <w:lang w:eastAsia="zh-CN"/>
              </w:rPr>
              <w:t>，</w:t>
            </w:r>
          </w:p>
          <w:p>
            <w:pPr>
              <w:ind w:firstLine="420" w:firstLineChars="200"/>
            </w:pPr>
            <w:r>
              <w:rPr>
                <w:rFonts w:hint="eastAsia"/>
                <w:color w:val="auto"/>
                <w:szCs w:val="22"/>
                <w:lang w:val="en-US" w:eastAsia="zh-CN"/>
              </w:rPr>
              <w:t>公司总经理应确定与本公司管理目标和战略方向相关并影响实现管理体系预期结果的各种内部因素（如公司的价值观、文化、知识和绩效等相关因素）和外部因素（如来自于国际、国内、地区或当地的各种法律法规、技术、竞争、市场、文化、社会和经济环境等因素），这些因素可能包括需要考虑的正面和负面要素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ind w:firstLine="420" w:firstLineChars="200"/>
              <w:jc w:val="left"/>
              <w:rPr>
                <w:rFonts w:hint="eastAsia"/>
                <w:color w:val="auto"/>
                <w:szCs w:val="22"/>
                <w:lang w:val="en-US" w:eastAsia="zh-CN"/>
              </w:rPr>
            </w:pPr>
            <w:r>
              <w:rPr>
                <w:rFonts w:hint="eastAsia"/>
                <w:color w:val="auto"/>
                <w:szCs w:val="22"/>
                <w:lang w:val="en-US" w:eastAsia="zh-CN"/>
              </w:rPr>
              <w:t>由于员工和相关方对公司稳定提供符合顾客要求和适用法律法规要求的服务的能力具有影响或潜在影响，因此公司应确定：</w:t>
            </w:r>
          </w:p>
          <w:p>
            <w:pPr>
              <w:ind w:firstLine="420" w:firstLineChars="200"/>
              <w:jc w:val="left"/>
              <w:rPr>
                <w:rFonts w:hint="eastAsia"/>
                <w:color w:val="auto"/>
                <w:szCs w:val="22"/>
                <w:lang w:val="en-US" w:eastAsia="zh-CN"/>
              </w:rPr>
            </w:pPr>
            <w:r>
              <w:rPr>
                <w:rFonts w:hint="eastAsia"/>
                <w:color w:val="auto"/>
                <w:szCs w:val="22"/>
                <w:lang w:val="en-US" w:eastAsia="zh-CN"/>
              </w:rPr>
              <w:t>与管理体系有关的相关方；除员工外，本公司的相关方包括：顾客、股东、员工、银行、外部供应商、员工、政府部门等。</w:t>
            </w:r>
          </w:p>
          <w:p>
            <w:pPr>
              <w:ind w:firstLine="420" w:firstLineChars="200"/>
              <w:jc w:val="left"/>
              <w:rPr>
                <w:rFonts w:hint="eastAsia"/>
                <w:color w:val="auto"/>
                <w:szCs w:val="22"/>
                <w:lang w:val="en-US" w:eastAsia="zh-CN"/>
              </w:rPr>
            </w:pPr>
            <w:r>
              <w:rPr>
                <w:rFonts w:hint="eastAsia"/>
                <w:color w:val="auto"/>
                <w:szCs w:val="22"/>
                <w:lang w:val="en-US" w:eastAsia="zh-CN"/>
              </w:rPr>
              <w:t>这些相关方的要求：公司应组织各部门对这些相关方及其要求的信息进行监视和评审，以便于理解和持续满足相关方的需求期望。</w:t>
            </w:r>
          </w:p>
          <w:p>
            <w:pPr>
              <w:pStyle w:val="2"/>
              <w:numPr>
                <w:numId w:val="0"/>
              </w:numPr>
            </w:pPr>
            <w:r>
              <w:rPr>
                <w:rFonts w:hint="eastAsia"/>
                <w:color w:val="auto"/>
                <w:szCs w:val="22"/>
                <w:lang w:val="en-US" w:eastAsia="zh-CN"/>
              </w:rPr>
              <w:t>公司每年通过征询意见、组织合理化建议、文件报送、传递、访谈、实地走访、不定期联络、定期日常沟通等方式，持续与员工和相关方沟通，了解员工和相关方要求，对他们的要求及时进行评审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w:t>
            </w:r>
          </w:p>
          <w:p>
            <w:pPr>
              <w:pStyle w:val="2"/>
              <w:rPr>
                <w:rFonts w:hint="eastAsia"/>
              </w:rPr>
            </w:pPr>
          </w:p>
          <w:p>
            <w:pPr>
              <w:ind w:firstLine="420" w:firstLineChars="200"/>
              <w:rPr>
                <w:rFonts w:hint="eastAsia"/>
                <w:color w:val="auto"/>
                <w:szCs w:val="22"/>
                <w:lang w:val="en-US" w:eastAsia="zh-CN"/>
              </w:rPr>
            </w:pPr>
            <w:r>
              <w:rPr>
                <w:rFonts w:hint="eastAsia"/>
                <w:color w:val="auto"/>
                <w:szCs w:val="22"/>
                <w:lang w:val="en-US" w:eastAsia="zh-CN"/>
              </w:rPr>
              <w:t>公司质量、环境、职业健康安全管理方针，</w:t>
            </w:r>
          </w:p>
          <w:p>
            <w:pPr>
              <w:rPr>
                <w:rFonts w:hint="eastAsia"/>
                <w:b/>
                <w:bCs/>
                <w:color w:val="auto"/>
                <w:szCs w:val="22"/>
                <w:lang w:val="en-US" w:eastAsia="zh-CN"/>
              </w:rPr>
            </w:pPr>
            <w:r>
              <w:rPr>
                <w:rFonts w:hint="eastAsia"/>
                <w:b/>
                <w:bCs/>
                <w:color w:val="auto"/>
                <w:szCs w:val="22"/>
                <w:lang w:val="en-US" w:eastAsia="zh-CN"/>
              </w:rPr>
              <w:t>安全为天、质量为先、守法诚信、保护环境、持续发展、顾客满意</w:t>
            </w:r>
          </w:p>
          <w:p>
            <w:pPr>
              <w:ind w:firstLine="420" w:firstLineChars="200"/>
              <w:rPr>
                <w:b/>
                <w:color w:val="000000" w:themeColor="text1"/>
              </w:rPr>
            </w:pPr>
            <w:r>
              <w:rPr>
                <w:rFonts w:hint="eastAsia"/>
                <w:color w:val="auto"/>
                <w:szCs w:val="22"/>
                <w:lang w:val="en-US" w:eastAsia="zh-CN"/>
              </w:rPr>
              <w:t>公司的管理方针满足标准的要求。</w:t>
            </w:r>
            <w:r>
              <w:rPr>
                <w:rFonts w:hint="eastAsia" w:asciiTheme="minorEastAsia" w:hAnsiTheme="minorEastAsia" w:eastAsiaTheme="minorEastAsia" w:cstheme="minorEastAsia"/>
                <w:color w:val="auto"/>
                <w:szCs w:val="21"/>
              </w:rPr>
              <w:t>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企业的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jc w:val="both"/>
              <w:rPr>
                <w:rFonts w:hint="eastAsia"/>
                <w:lang w:val="en-US" w:eastAsia="zh-CN"/>
              </w:rPr>
            </w:pPr>
            <w:r>
              <w:rPr>
                <w:rFonts w:hint="eastAsia"/>
                <w:lang w:val="en-US" w:eastAsia="zh-CN"/>
              </w:rPr>
              <w:t>公司的风险和机遇为：</w:t>
            </w:r>
          </w:p>
          <w:p>
            <w:pPr>
              <w:jc w:val="both"/>
              <w:rPr>
                <w:rFonts w:hint="eastAsia"/>
                <w:lang w:val="en-US" w:eastAsia="zh-CN"/>
              </w:rPr>
            </w:pPr>
            <w:r>
              <w:rPr>
                <w:rFonts w:hint="eastAsia"/>
                <w:lang w:val="en-US" w:eastAsia="zh-CN"/>
              </w:rPr>
              <w:t>1、人员素质不同，环保意识不强，对岗位环境因素认识不足，控制方法不明确；</w:t>
            </w:r>
          </w:p>
          <w:p>
            <w:pPr>
              <w:jc w:val="both"/>
              <w:rPr>
                <w:rFonts w:hint="default"/>
                <w:lang w:val="en-US" w:eastAsia="zh-CN"/>
              </w:rPr>
            </w:pPr>
            <w:r>
              <w:rPr>
                <w:rFonts w:hint="eastAsia"/>
                <w:lang w:val="en-US" w:eastAsia="zh-CN"/>
              </w:rPr>
              <w:t>2、适用环境法律法规的识别、收集及宣传不够，相应公司内部活动及环境因素不够明确，部分员工守法意识淡薄；</w:t>
            </w:r>
          </w:p>
          <w:p>
            <w:pPr>
              <w:jc w:val="both"/>
              <w:rPr>
                <w:rFonts w:hint="default"/>
                <w:lang w:val="en-US" w:eastAsia="zh-CN"/>
              </w:rPr>
            </w:pPr>
            <w:r>
              <w:rPr>
                <w:rFonts w:hint="eastAsia"/>
                <w:lang w:val="en-US" w:eastAsia="zh-CN"/>
              </w:rPr>
              <w:t>3、公司环保资质及设施较为齐全，但管理制度尚不够健全；</w:t>
            </w:r>
          </w:p>
          <w:p>
            <w:pPr>
              <w:jc w:val="both"/>
              <w:rPr>
                <w:rFonts w:hint="default"/>
                <w:lang w:val="en-US" w:eastAsia="zh-CN"/>
              </w:rPr>
            </w:pPr>
            <w:r>
              <w:rPr>
                <w:rFonts w:hint="eastAsia"/>
                <w:lang w:val="en-US" w:eastAsia="zh-CN"/>
              </w:rPr>
              <w:t>4、在确定潜在的紧急情况不熟悉，例如：火灾发生；</w:t>
            </w:r>
          </w:p>
          <w:p>
            <w:pPr>
              <w:jc w:val="both"/>
              <w:rPr>
                <w:rFonts w:hint="default"/>
                <w:lang w:val="en-US" w:eastAsia="zh-CN"/>
              </w:rPr>
            </w:pPr>
            <w:r>
              <w:rPr>
                <w:rFonts w:hint="eastAsia"/>
                <w:lang w:val="en-US" w:eastAsia="zh-CN"/>
              </w:rPr>
              <w:t>5、部分顾客对产品质量和环保安全比较关注；</w:t>
            </w:r>
          </w:p>
          <w:p>
            <w:pPr>
              <w:jc w:val="both"/>
              <w:rPr>
                <w:rFonts w:hint="default"/>
                <w:lang w:val="en-US" w:eastAsia="zh-CN"/>
              </w:rPr>
            </w:pPr>
            <w:r>
              <w:rPr>
                <w:rFonts w:hint="eastAsia"/>
                <w:lang w:val="en-US" w:eastAsia="zh-CN"/>
              </w:rPr>
              <w:t>6、未履行合规义务可损害组织的声誉或导致诉讼；</w:t>
            </w:r>
          </w:p>
          <w:p>
            <w:pPr>
              <w:jc w:val="both"/>
              <w:rPr>
                <w:rFonts w:hint="eastAsia"/>
                <w:lang w:val="en-US" w:eastAsia="zh-CN"/>
              </w:rPr>
            </w:pPr>
            <w:r>
              <w:rPr>
                <w:rFonts w:hint="eastAsia"/>
                <w:lang w:val="en-US" w:eastAsia="zh-CN"/>
              </w:rPr>
              <w:t>7、附近设施，例如：商铺、道路的潜在紧急情况。</w:t>
            </w:r>
          </w:p>
          <w:p>
            <w:pPr>
              <w:pStyle w:val="2"/>
            </w:pPr>
            <w:r>
              <w:rPr>
                <w:rFonts w:hint="eastAsia" w:asciiTheme="minorEastAsia" w:hAnsiTheme="minorEastAsia" w:eastAsiaTheme="minorEastAsia" w:cstheme="minorEastAsia"/>
                <w:color w:val="auto"/>
                <w:sz w:val="21"/>
                <w:szCs w:val="21"/>
              </w:rPr>
              <w:t>按照生产销售、采购、支持过程/部门对风险和机遇进行了评价识别，并制定应对措施。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300" w:lineRule="exact"/>
              <w:ind w:left="0" w:leftChars="0" w:firstLine="0" w:firstLineChars="0"/>
              <w:rPr>
                <w:rFonts w:hint="eastAsia" w:ascii="宋体" w:hAnsi="宋体"/>
                <w:b/>
                <w:color w:val="000000" w:themeColor="text1"/>
                <w:sz w:val="20"/>
                <w:szCs w:val="20"/>
              </w:rPr>
            </w:pP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10" w:hangingChars="100"/>
              <w:rPr>
                <w:rFonts w:ascii="宋体" w:hAnsi="宋体"/>
                <w:b/>
                <w:color w:val="000000" w:themeColor="text1"/>
                <w:sz w:val="20"/>
                <w:szCs w:val="20"/>
                <w:u w:val="single"/>
              </w:rPr>
            </w:pPr>
            <w:r>
              <w:rPr>
                <w:rFonts w:hint="eastAsia" w:ascii="宋体" w:hAnsi="宋体" w:eastAsia="宋体" w:cs="宋体"/>
                <w:bCs/>
                <w:color w:val="auto"/>
                <w:szCs w:val="21"/>
              </w:rPr>
              <w:t>业务洽谈—合同评审—合同签订—供方评价--产品采购—验收—交付—货款结算</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lang w:val="zh-CN" w:eastAsia="zh-CN"/>
              </w:rPr>
              <w:t>服务过程，有确认记录，见</w:t>
            </w:r>
            <w:r>
              <w:rPr>
                <w:rFonts w:hint="eastAsia"/>
                <w:lang w:val="en-US" w:eastAsia="zh-CN"/>
              </w:rPr>
              <w:t>Q8.5.1</w:t>
            </w:r>
            <w:r>
              <w:rPr>
                <w:rFonts w:hint="eastAsia" w:ascii="宋体" w:hAnsi="宋体"/>
                <w:b/>
                <w:color w:val="000000" w:themeColor="text1"/>
                <w:sz w:val="20"/>
                <w:szCs w:val="20"/>
              </w:rPr>
              <w:t xml:space="preserve"> </w:t>
            </w:r>
          </w:p>
          <w:p>
            <w:pPr>
              <w:tabs>
                <w:tab w:val="left" w:pos="540"/>
              </w:tabs>
              <w:spacing w:line="300" w:lineRule="exact"/>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提供《环境因素评价表》，其中涉及固废废弃、宣传册的废弃、意外火灾、原材料损耗、资源的消耗等。</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提供《重要环境因素清单》，其中涉及重要环境因素：火灾的发生</w:t>
            </w:r>
            <w:r>
              <w:rPr>
                <w:rFonts w:hint="eastAsia" w:asciiTheme="minorEastAsia" w:hAnsiTheme="minorEastAsia" w:eastAsiaTheme="minorEastAsia" w:cstheme="minorEastAsia"/>
                <w:color w:val="auto"/>
                <w:sz w:val="21"/>
                <w:szCs w:val="21"/>
                <w:lang w:val="en-US" w:eastAsia="zh-CN"/>
              </w:rPr>
              <w:t>、触电</w:t>
            </w:r>
            <w:r>
              <w:rPr>
                <w:rFonts w:hint="eastAsia" w:asciiTheme="minorEastAsia" w:hAnsiTheme="minorEastAsia" w:eastAsiaTheme="minorEastAsia" w:cstheme="minorEastAsia"/>
                <w:color w:val="auto"/>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hint="eastAsia"/>
              </w:rPr>
            </w:pPr>
            <w:r>
              <w:rPr>
                <w:rFonts w:hint="eastAsia"/>
              </w:rPr>
              <w:t xml:space="preserve">7. </w:t>
            </w:r>
            <w:r>
              <w:t>OHSMS</w:t>
            </w:r>
            <w:r>
              <w:rPr>
                <w:rFonts w:hint="eastAsia"/>
              </w:rPr>
              <w:t>职业健康安全危险源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，评价基本准确。</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4"/>
              </w:numPr>
              <w:tabs>
                <w:tab w:val="left" w:pos="540"/>
              </w:tabs>
              <w:spacing w:line="300" w:lineRule="exact"/>
              <w:ind w:left="420" w:leftChars="0" w:hanging="420"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公司的质量、环境、职业健康安全目标及完成情况为：</w:t>
            </w:r>
          </w:p>
          <w:p>
            <w:pPr>
              <w:jc w:val="both"/>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序号        目标                                       考核结果</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1、产品交付合格率98%以上</w:t>
            </w:r>
            <w:r>
              <w:rPr>
                <w:rFonts w:hint="eastAsia" w:ascii="Times New Roman" w:hAnsi="Times New Roman" w:cs="Times New Roman"/>
                <w:color w:val="auto"/>
                <w:szCs w:val="21"/>
                <w:lang w:val="en-US" w:eastAsia="zh-CN"/>
              </w:rPr>
              <w:t xml:space="preserve">                               100%</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2、顾客满意度90%以上</w:t>
            </w:r>
            <w:r>
              <w:rPr>
                <w:rFonts w:hint="eastAsia" w:ascii="Times New Roman" w:hAnsi="Times New Roman" w:cs="Times New Roman"/>
                <w:color w:val="auto"/>
                <w:szCs w:val="21"/>
                <w:lang w:val="en-US" w:eastAsia="zh-CN"/>
              </w:rPr>
              <w:t xml:space="preserve">                                   100%</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3、火灾、触电事故为0</w:t>
            </w:r>
            <w:r>
              <w:rPr>
                <w:rFonts w:hint="eastAsia" w:ascii="Times New Roman" w:hAnsi="Times New Roman" w:cs="Times New Roman"/>
                <w:color w:val="auto"/>
                <w:szCs w:val="21"/>
                <w:lang w:val="en-US" w:eastAsia="zh-CN"/>
              </w:rPr>
              <w:t xml:space="preserve">                                    0</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4、产生的固体废物100%分类、收集</w:t>
            </w:r>
            <w:r>
              <w:rPr>
                <w:rFonts w:hint="eastAsia" w:ascii="Times New Roman" w:hAnsi="Times New Roman" w:cs="Times New Roman"/>
                <w:color w:val="auto"/>
                <w:szCs w:val="21"/>
                <w:lang w:val="en-US" w:eastAsia="zh-CN"/>
              </w:rPr>
              <w:t xml:space="preserve">                        100%</w:t>
            </w:r>
          </w:p>
          <w:p>
            <w:pPr>
              <w:jc w:val="both"/>
              <w:rPr>
                <w:rFonts w:hint="eastAsia"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w:t>
            </w:r>
            <w:r>
              <w:rPr>
                <w:rFonts w:hint="eastAsia" w:ascii="Times New Roman" w:hAnsi="Times New Roman" w:cs="Times New Roman"/>
                <w:color w:val="auto"/>
                <w:szCs w:val="21"/>
                <w:lang w:val="en-US" w:eastAsia="zh-CN"/>
              </w:rPr>
              <w:t>重大交通责任事故为0                                  0</w:t>
            </w:r>
          </w:p>
          <w:p>
            <w:pPr>
              <w:spacing w:line="240" w:lineRule="exact"/>
              <w:rPr>
                <w:rFonts w:ascii="宋体" w:hAnsi="宋体"/>
                <w:b/>
                <w:color w:val="000000" w:themeColor="text1"/>
              </w:rPr>
            </w:pPr>
            <w:r>
              <w:rPr>
                <w:rFonts w:hint="eastAsia" w:ascii="Times New Roman" w:hAnsi="Times New Roman" w:cs="Times New Roman"/>
                <w:color w:val="auto"/>
                <w:szCs w:val="21"/>
                <w:lang w:val="en-US" w:eastAsia="zh-CN"/>
              </w:rPr>
              <w:t>考核日期：</w:t>
            </w:r>
            <w:r>
              <w:rPr>
                <w:rFonts w:hint="eastAsia"/>
                <w:color w:val="auto"/>
                <w:sz w:val="24"/>
                <w:lang w:eastAsia="zh-CN"/>
              </w:rPr>
              <w:t>20</w:t>
            </w:r>
            <w:r>
              <w:rPr>
                <w:rFonts w:hint="eastAsia"/>
                <w:color w:val="auto"/>
                <w:sz w:val="24"/>
                <w:lang w:val="en-US" w:eastAsia="zh-CN"/>
              </w:rPr>
              <w:t>20</w:t>
            </w:r>
            <w:r>
              <w:rPr>
                <w:rFonts w:hint="eastAsia"/>
                <w:color w:val="auto"/>
                <w:sz w:val="24"/>
                <w:lang w:eastAsia="zh-CN"/>
              </w:rPr>
              <w:t>-0</w:t>
            </w:r>
            <w:r>
              <w:rPr>
                <w:rFonts w:hint="eastAsia"/>
                <w:color w:val="auto"/>
                <w:sz w:val="24"/>
                <w:lang w:val="en-US" w:eastAsia="zh-CN"/>
              </w:rPr>
              <w:t>3</w:t>
            </w:r>
            <w:r>
              <w:rPr>
                <w:rFonts w:hint="eastAsia"/>
                <w:color w:val="auto"/>
                <w:sz w:val="24"/>
                <w:lang w:eastAsia="zh-CN"/>
              </w:rPr>
              <w:t>-30</w:t>
            </w:r>
            <w:r>
              <w:rPr>
                <w:rFonts w:hint="eastAsia"/>
                <w:color w:val="auto"/>
                <w:sz w:val="24"/>
                <w:lang w:val="en-US" w:eastAsia="zh-CN"/>
              </w:rPr>
              <w:t xml:space="preserve">         考核人：</w:t>
            </w:r>
            <w:r>
              <w:rPr>
                <w:rFonts w:hint="eastAsia"/>
                <w:color w:val="auto"/>
                <w:sz w:val="24"/>
                <w:lang w:eastAsia="zh-CN"/>
              </w:rPr>
              <w:t>郭帅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Cs w:val="21"/>
              </w:rPr>
              <w:t>3、组织通过</w:t>
            </w:r>
            <w:r>
              <w:rPr>
                <w:rFonts w:hint="eastAsia" w:asciiTheme="minorEastAsia" w:hAnsiTheme="minorEastAsia" w:eastAsiaTheme="minorEastAsia" w:cstheme="minorEastAsia"/>
                <w:szCs w:val="21"/>
                <w:lang w:eastAsia="zh-CN"/>
              </w:rPr>
              <w:t>采购部</w:t>
            </w:r>
            <w:r>
              <w:rPr>
                <w:rFonts w:hint="eastAsia" w:asciiTheme="minorEastAsia" w:hAnsiTheme="minorEastAsia" w:eastAsiaTheme="minorEastAsia" w:cstheme="minorEastAsia"/>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cs="宋体"/>
              </w:rPr>
              <w:t>查设备台帐，主要是办公设备，包括：</w:t>
            </w:r>
            <w:r>
              <w:rPr>
                <w:rFonts w:hint="eastAsia"/>
                <w:sz w:val="21"/>
                <w:szCs w:val="21"/>
                <w:lang w:eastAsia="zh-CN"/>
              </w:rPr>
              <w:t>电脑、电话、一体机、</w:t>
            </w:r>
            <w:r>
              <w:rPr>
                <w:rFonts w:hint="eastAsia"/>
                <w:sz w:val="21"/>
                <w:szCs w:val="21"/>
                <w:lang w:val="en-US" w:eastAsia="zh-CN"/>
              </w:rPr>
              <w:t>办公桌椅、展板、文件柜</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w:t>
            </w:r>
            <w:r>
              <w:rPr>
                <w:rFonts w:hint="eastAsia" w:cs="宋体"/>
                <w:lang w:eastAsia="zh-CN"/>
              </w:rPr>
              <w:t>其它设备日常维护。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 xml:space="preserve">       </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 xml:space="preserve">    </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eastAsia="zh-CN"/>
              </w:rPr>
              <w:t>不涉及，有服务质量评价记录。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eastAsia="zh-CN"/>
              </w:rPr>
              <w:t>办公室未配备灭火器等消防器材，已经开不符合。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eastAsia="zh-CN"/>
              </w:rPr>
              <w:t>办公室未配备灭火器等消防器材，已经开不符合。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委托单位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查见办公现场宽敞整洁，电脑、传真、打印机及网络运行正常。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●需要确认的过程：编制了《特殊过程确认准则》，该公司目前经识别确认的特殊过程为</w:t>
            </w:r>
            <w:r>
              <w:rPr>
                <w:rFonts w:hint="eastAsia" w:asciiTheme="minorEastAsia" w:hAnsiTheme="minorEastAsia" w:eastAsiaTheme="minorEastAsia" w:cstheme="minorEastAsia"/>
                <w:color w:val="auto"/>
                <w:sz w:val="21"/>
                <w:szCs w:val="21"/>
                <w:lang w:val="en-US" w:eastAsia="zh-CN"/>
              </w:rPr>
              <w:t>业务洽谈</w:t>
            </w:r>
            <w:r>
              <w:rPr>
                <w:rFonts w:hint="eastAsia" w:asciiTheme="minorEastAsia" w:hAnsiTheme="minorEastAsia" w:eastAsiaTheme="minorEastAsia" w:cstheme="minorEastAsia"/>
                <w:color w:val="auto"/>
                <w:sz w:val="21"/>
                <w:szCs w:val="21"/>
              </w:rPr>
              <w:t>。查见《过程确认记录》，对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过程从工作人员能力、设备能力、工作流程等方面进行了确认评价。确认结论：业务洽谈可以保证质量满足要求。确认人：</w:t>
            </w:r>
            <w:r>
              <w:rPr>
                <w:rFonts w:hint="eastAsia" w:asciiTheme="minorEastAsia" w:hAnsiTheme="minorEastAsia" w:eastAsiaTheme="minorEastAsia" w:cstheme="minorEastAsia"/>
                <w:color w:val="auto"/>
                <w:sz w:val="21"/>
                <w:szCs w:val="21"/>
                <w:lang w:val="en-US" w:eastAsia="zh-CN"/>
              </w:rPr>
              <w:t>李延波  2019.12.15。</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库房物品放置基本有秩序。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等程序和相关制度。</w:t>
            </w:r>
          </w:p>
          <w:p>
            <w:pPr>
              <w:numPr>
                <w:numId w:val="0"/>
              </w:num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：业务洽谈—合同评审—合同签订—供方评价--产品采购—验收—交付—货款结算</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24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p>
            <w:pPr>
              <w:rPr>
                <w:lang w:val="en-GB"/>
              </w:rPr>
            </w:pPr>
            <w:r>
              <w:rPr>
                <w:rFonts w:hint="eastAsia"/>
                <w:lang w:val="en-GB"/>
              </w:rPr>
              <w:t>公司产品和服务的放行，需得到</w:t>
            </w:r>
            <w:r>
              <w:rPr>
                <w:rFonts w:hint="eastAsia"/>
                <w:lang w:val="en-US" w:eastAsia="zh-CN"/>
              </w:rPr>
              <w:t>销售</w:t>
            </w:r>
            <w:r>
              <w:rPr>
                <w:rFonts w:hint="eastAsia"/>
                <w:lang w:val="en-GB"/>
              </w:rPr>
              <w:t>部经理的批准后放行</w:t>
            </w:r>
          </w:p>
          <w:p>
            <w:pPr>
              <w:rPr>
                <w:rFonts w:hint="eastAsia" w:ascii="宋体" w:hAnsi="宋体" w:eastAsia="宋体" w:cs="宋体"/>
                <w:color w:val="auto"/>
                <w:szCs w:val="21"/>
              </w:rPr>
            </w:pPr>
            <w:r>
              <w:rPr>
                <w:rFonts w:hint="eastAsia"/>
                <w:sz w:val="21"/>
                <w:szCs w:val="21"/>
                <w:lang w:val="en-US" w:eastAsia="zh-CN"/>
              </w:rPr>
              <w:t>1、</w:t>
            </w:r>
            <w:r>
              <w:rPr>
                <w:rFonts w:hint="eastAsia"/>
                <w:sz w:val="21"/>
                <w:szCs w:val="21"/>
              </w:rPr>
              <w:t>原材</w:t>
            </w:r>
            <w:r>
              <w:rPr>
                <w:rFonts w:hint="eastAsia"/>
                <w:color w:val="auto"/>
                <w:sz w:val="21"/>
                <w:szCs w:val="21"/>
              </w:rPr>
              <w:t>料/采购产品</w:t>
            </w:r>
            <w:r>
              <w:rPr>
                <w:rFonts w:hint="eastAsia"/>
                <w:color w:val="auto"/>
                <w:sz w:val="21"/>
                <w:szCs w:val="21"/>
                <w:lang w:eastAsia="zh-CN"/>
              </w:rPr>
              <w:t>，</w:t>
            </w:r>
            <w:r>
              <w:rPr>
                <w:rFonts w:hint="eastAsia"/>
                <w:color w:val="auto"/>
              </w:rPr>
              <w:t>抽：</w:t>
            </w:r>
            <w:r>
              <w:rPr>
                <w:color w:val="auto"/>
              </w:rPr>
              <w:t xml:space="preserve"> </w:t>
            </w:r>
            <w:r>
              <w:rPr>
                <w:rFonts w:hint="eastAsia"/>
                <w:color w:val="auto"/>
              </w:rPr>
              <w:t xml:space="preserve">采购物资验证记录 </w:t>
            </w:r>
          </w:p>
          <w:p>
            <w:pPr>
              <w:rPr>
                <w:rFonts w:hint="default"/>
                <w:color w:val="auto"/>
                <w:sz w:val="21"/>
                <w:szCs w:val="21"/>
                <w:lang w:val="en-US"/>
              </w:rPr>
            </w:pPr>
            <w:r>
              <w:rPr>
                <w:rFonts w:hint="eastAsia"/>
                <w:color w:val="auto"/>
                <w:sz w:val="21"/>
                <w:szCs w:val="21"/>
                <w:lang w:val="en-US" w:eastAsia="zh-CN"/>
              </w:rPr>
              <w:t>2、</w:t>
            </w:r>
            <w:r>
              <w:rPr>
                <w:rFonts w:hint="eastAsia"/>
                <w:color w:val="auto"/>
                <w:sz w:val="21"/>
                <w:szCs w:val="21"/>
              </w:rPr>
              <w:t>服务过程控制——</w:t>
            </w:r>
            <w:r>
              <w:rPr>
                <w:rFonts w:hint="eastAsia"/>
                <w:color w:val="auto"/>
                <w:sz w:val="21"/>
                <w:szCs w:val="21"/>
                <w:lang w:val="en-US" w:eastAsia="zh-CN"/>
              </w:rPr>
              <w:t>提供了2020.6.10销售服务</w:t>
            </w:r>
            <w:r>
              <w:rPr>
                <w:rFonts w:hint="eastAsia"/>
                <w:color w:val="auto"/>
                <w:lang w:val="en-US" w:eastAsia="zh-CN"/>
              </w:rPr>
              <w:t>过程检查记录表，内容包括业务分析评审、政策分析评审</w:t>
            </w:r>
          </w:p>
          <w:p>
            <w:pPr>
              <w:rPr>
                <w:b/>
                <w:color w:val="000000" w:themeColor="text1"/>
                <w:sz w:val="20"/>
                <w:szCs w:val="20"/>
              </w:rPr>
            </w:pPr>
            <w:r>
              <w:rPr>
                <w:rFonts w:hint="eastAsia"/>
                <w:color w:val="auto"/>
                <w:sz w:val="21"/>
                <w:szCs w:val="21"/>
              </w:rPr>
              <w:t>3）查</w:t>
            </w:r>
            <w:r>
              <w:rPr>
                <w:rFonts w:hint="eastAsia"/>
                <w:color w:val="auto"/>
                <w:sz w:val="21"/>
                <w:szCs w:val="21"/>
                <w:lang w:eastAsia="zh-CN"/>
              </w:rPr>
              <w:t>交付验收</w:t>
            </w:r>
            <w:r>
              <w:rPr>
                <w:rFonts w:hint="eastAsia"/>
                <w:color w:val="auto"/>
                <w:sz w:val="21"/>
                <w:szCs w:val="21"/>
              </w:rPr>
              <w:t>——服务完成后有客户确认，提供有客户确认记录及汇款记录。</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rPr>
            </w:pPr>
            <w:r>
              <w:rPr>
                <w:rFonts w:hint="eastAsia"/>
              </w:rPr>
              <w:t>编制了《不符合控制程序》，内容符合标准要求。</w:t>
            </w:r>
          </w:p>
          <w:p>
            <w:pPr>
              <w:rPr>
                <w:rFonts w:hint="eastAsia"/>
              </w:rPr>
            </w:pPr>
            <w:r>
              <w:rPr>
                <w:rFonts w:hint="eastAsia"/>
              </w:rPr>
              <w:t>对不合格品处置的方式包括：退货和报废。查见《不合格品台帐》，内容包括：日期、不合格品名称、责任人、不合格原因、处置情况、检验员、备注。要求对不合格产品在台帐上进行登记和处理。</w:t>
            </w:r>
          </w:p>
          <w:p>
            <w:pPr>
              <w:spacing w:line="240" w:lineRule="exact"/>
              <w:rPr>
                <w:b/>
                <w:color w:val="000000" w:themeColor="text1"/>
                <w:sz w:val="20"/>
                <w:szCs w:val="20"/>
              </w:rPr>
            </w:pPr>
            <w:r>
              <w:rPr>
                <w:rFonts w:hint="eastAsia"/>
              </w:rPr>
              <w:t>自体系运行以来未发生过不合格情况，如以后有不合格情况，则按照不合格品控制程序。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EMS组织对重要环境因素实施控制的结果</w:t>
            </w:r>
          </w:p>
          <w:p>
            <w:pPr>
              <w:numPr>
                <w:ilvl w:val="0"/>
                <w:numId w:val="6"/>
              </w:numPr>
              <w:spacing w:line="240" w:lineRule="exact"/>
              <w:rPr>
                <w:b/>
                <w:color w:val="000000" w:themeColor="text1"/>
                <w:sz w:val="20"/>
                <w:szCs w:val="20"/>
              </w:rPr>
            </w:pPr>
            <w:r>
              <w:rPr>
                <w:rFonts w:hint="eastAsia"/>
              </w:rPr>
              <w:t>OHSMS组织对不可接受风险实施控制的结果</w:t>
            </w:r>
          </w:p>
          <w:p>
            <w:pPr>
              <w:ind w:firstLine="420" w:firstLineChars="200"/>
              <w:rPr>
                <w:rFonts w:hint="eastAsia" w:cs="宋体"/>
                <w:lang w:val="zh-CN"/>
              </w:rPr>
            </w:pPr>
            <w:r>
              <w:rPr>
                <w:rFonts w:hint="eastAsia" w:cs="宋体"/>
                <w:lang w:val="zh-CN"/>
              </w:rPr>
              <w:t>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lang w:val="zh-CN"/>
              </w:rPr>
              <w:t>等</w:t>
            </w:r>
          </w:p>
          <w:p>
            <w:pPr>
              <w:rPr>
                <w:rFonts w:hint="eastAsia" w:cs="宋体"/>
                <w:lang w:val="zh-CN"/>
              </w:rPr>
            </w:pPr>
            <w:r>
              <w:rPr>
                <w:rFonts w:hint="eastAsia" w:cs="宋体"/>
                <w:lang w:val="zh-CN"/>
              </w:rPr>
              <w:t>运行控制情况：</w:t>
            </w:r>
          </w:p>
          <w:p>
            <w:pPr>
              <w:rPr>
                <w:rFonts w:hint="eastAsia" w:cs="宋体"/>
                <w:lang w:val="zh-CN"/>
              </w:rPr>
            </w:pPr>
            <w:r>
              <w:rPr>
                <w:rFonts w:hint="eastAsia" w:cs="宋体"/>
                <w:lang w:val="zh-CN"/>
              </w:rPr>
              <w:t>1、办公室区域：生活污水排放至城市管网。噪声：办公现场不产生明显噪声。</w:t>
            </w:r>
          </w:p>
          <w:p>
            <w:pPr>
              <w:rPr>
                <w:rFonts w:hint="eastAsia" w:cs="宋体"/>
                <w:lang w:val="zh-CN"/>
              </w:rPr>
            </w:pPr>
            <w:r>
              <w:rPr>
                <w:rFonts w:hint="eastAsia" w:cs="宋体"/>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lang w:val="zh-CN"/>
              </w:rPr>
            </w:pPr>
            <w:r>
              <w:rPr>
                <w:rFonts w:hint="eastAsia" w:cs="宋体"/>
                <w:lang w:val="zh-CN"/>
              </w:rPr>
              <w:t>2、办公过程注意节约用电，做到人走灯灭，电脑长时间不用时关机，下班前要关闭电源，防止触电。</w:t>
            </w:r>
          </w:p>
          <w:p>
            <w:pPr>
              <w:rPr>
                <w:rFonts w:hint="eastAsia" w:cs="宋体"/>
                <w:lang w:val="zh-CN"/>
              </w:rPr>
            </w:pPr>
            <w:r>
              <w:rPr>
                <w:rFonts w:hint="eastAsia" w:cs="宋体"/>
                <w:lang w:val="zh-CN"/>
              </w:rPr>
              <w:t>3、办公区域禁止吸烟，查看办公区域环境整洁、宽敞、办公设备状态良好、无安全隐患。</w:t>
            </w:r>
          </w:p>
          <w:p>
            <w:pPr>
              <w:rPr>
                <w:rFonts w:hint="eastAsia" w:cs="宋体"/>
                <w:lang w:val="zh-CN"/>
              </w:rPr>
            </w:pPr>
            <w:r>
              <w:rPr>
                <w:rFonts w:hint="eastAsia" w:cs="宋体"/>
                <w:lang w:val="zh-CN"/>
              </w:rPr>
              <w:t>4、工作时间平均每天不超过8小时。</w:t>
            </w:r>
          </w:p>
          <w:p>
            <w:pPr>
              <w:rPr>
                <w:rFonts w:hint="eastAsia" w:cs="宋体"/>
                <w:lang w:val="zh-CN"/>
              </w:rPr>
            </w:pPr>
            <w:r>
              <w:rPr>
                <w:rFonts w:hint="eastAsia" w:cs="宋体"/>
                <w:lang w:val="zh-CN"/>
              </w:rPr>
              <w:t>5、查看办公区域，整洁、光线充足、室内空气良好，办公条件较好，办公设备安全状态良好，教育员工正确使用办公设备，规范用电，无乱拉线现象，防止火灾发生。</w:t>
            </w:r>
          </w:p>
          <w:p>
            <w:pPr>
              <w:rPr>
                <w:rFonts w:hint="eastAsia" w:cs="宋体"/>
                <w:u w:val="single"/>
                <w:lang w:val="zh-CN"/>
              </w:rPr>
            </w:pPr>
            <w:r>
              <w:rPr>
                <w:rFonts w:hint="eastAsia" w:cs="宋体"/>
                <w:lang w:val="zh-CN"/>
              </w:rPr>
              <w:t>7、相关方施加影响：公司能够控制或能够施加影响的相关方有顾客等。提供了“致相关方的公开信”，将公司的环境/安全控制要求发放</w:t>
            </w:r>
            <w:r>
              <w:rPr>
                <w:rFonts w:hint="eastAsia" w:cs="宋体"/>
                <w:lang w:val="en-US" w:eastAsia="zh-CN"/>
              </w:rPr>
              <w:t>给</w:t>
            </w:r>
            <w:r>
              <w:rPr>
                <w:rFonts w:hint="eastAsia" w:cs="宋体"/>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spacing w:line="240" w:lineRule="exact"/>
              <w:rPr>
                <w:b/>
                <w:color w:val="000000" w:themeColor="text1"/>
                <w:sz w:val="20"/>
                <w:szCs w:val="20"/>
              </w:rPr>
            </w:pPr>
            <w:r>
              <w:rPr>
                <w:rFonts w:hint="eastAsia" w:cs="宋体"/>
                <w:lang w:val="zh-CN"/>
              </w:rPr>
              <w:t>8、要求遵守道路交通法规，不违章驾车，驾驶证和车辆定期年审，确保行车安全。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r>
              <w:rPr>
                <w:rFonts w:hint="eastAsia" w:asciiTheme="minorEastAsia" w:hAnsiTheme="minorEastAsia" w:eastAsiaTheme="minorEastAsia" w:cstheme="minorEastAsia"/>
                <w:color w:val="auto"/>
                <w:sz w:val="21"/>
                <w:szCs w:val="21"/>
              </w:rPr>
              <w:t>《消防应急演练》；于2019-1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-18进行了火灾演练，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参加；有《演练记录》总结</w:t>
            </w:r>
            <w:r>
              <w:rPr>
                <w:rFonts w:hint="eastAsia" w:asciiTheme="minorEastAsia" w:hAnsiTheme="minorEastAsia" w:eastAsiaTheme="minorEastAsia" w:cstheme="minorEastAsia"/>
                <w:color w:val="auto"/>
                <w:sz w:val="21"/>
                <w:szCs w:val="21"/>
                <w:lang w:eastAsia="zh-CN"/>
              </w:rPr>
              <w:t>，</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预案基本合理，不需要修订。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color w:val="000000" w:themeColor="text1"/>
                <w:szCs w:val="21"/>
              </w:rPr>
            </w:pPr>
          </w:p>
        </w:tc>
        <w:tc>
          <w:tcPr>
            <w:tcW w:w="9198" w:type="dxa"/>
            <w:tcBorders/>
          </w:tcPr>
          <w:p>
            <w:pPr>
              <w:numPr>
                <w:ilvl w:val="0"/>
                <w:numId w:val="6"/>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对特种设备的维护，检定; </w:t>
            </w:r>
          </w:p>
          <w:p>
            <w:pPr>
              <w:pStyle w:val="2"/>
              <w:numPr>
                <w:numId w:val="0"/>
              </w:numPr>
              <w:ind w:leftChars="0" w:firstLine="230" w:firstLineChars="100"/>
              <w:rPr>
                <w:b/>
                <w:color w:val="000000" w:themeColor="text1"/>
                <w:sz w:val="20"/>
                <w:szCs w:val="20"/>
              </w:rPr>
            </w:pPr>
            <w:r>
              <w:rPr>
                <w:rFonts w:hint="eastAsia"/>
                <w:lang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numPr>
                <w:ilvl w:val="0"/>
                <w:numId w:val="0"/>
              </w:numPr>
              <w:ind w:leftChars="0" w:firstLine="230" w:firstLineChars="100"/>
            </w:pPr>
            <w:r>
              <w:rPr>
                <w:rFonts w:hint="eastAsia"/>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公司在建立过程时，同时考虑过程业绩的测量和监测、重要环境因素、不可接受风险、合规义务的运行和控制。</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 xml:space="preserve">通过分析测量和监测结果数据，确定过程改进的机会，记录评价结果的证据。过程及服务业绩的测量安排在流程中确定， </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通过目标的考核、内审会议、管理评审会议、日常工作例会、电子邮件、文件等方式，由办公室向各部门负责人报告质量、环境与职业健康安全管理绩效分析和评价的结果，或改进措施。</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为确保管理体系的符合性和持续改进其有效性，经管理者代表组织 、办公室、业务部等有关部门负责人对监视、测量、分析和改进过程分别就其项目、方法、频次和必要适当记录、包括适用统计技术进行策划和确定，并由管理者代表按本章以下各条款组织实施。</w:t>
            </w:r>
          </w:p>
          <w:p>
            <w:pPr>
              <w:spacing w:line="240" w:lineRule="exact"/>
              <w:ind w:firstLine="105" w:firstLineChars="50"/>
              <w:rPr>
                <w:b/>
                <w:color w:val="000000" w:themeColor="text1"/>
                <w:sz w:val="20"/>
                <w:szCs w:val="20"/>
              </w:rPr>
            </w:pPr>
            <w:r>
              <w:rPr>
                <w:rFonts w:hint="eastAsia" w:ascii="Times New Roman" w:hAnsi="Times New Roman" w:cs="Times New Roman"/>
                <w:color w:val="auto"/>
                <w:szCs w:val="22"/>
                <w:lang w:val="en-US" w:eastAsia="zh-CN"/>
              </w:rPr>
              <w:t>公司利用内审、管理评审、日常检查等方式评价质量、环境和安全管理体系绩效和有效性。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7"/>
              </w:numPr>
              <w:spacing w:line="240" w:lineRule="exact"/>
              <w:ind w:left="100" w:hanging="105"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ilvl w:val="0"/>
                <w:numId w:val="0"/>
              </w:numPr>
              <w:ind w:left="0" w:leftChars="0" w:firstLine="0" w:firstLineChars="0"/>
              <w:rPr>
                <w:b/>
                <w:color w:val="000000" w:themeColor="text1"/>
                <w:sz w:val="20"/>
                <w:szCs w:val="20"/>
              </w:r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公司编制了《内部审核控制程序》，每年至少一次；有内审员任命书，任命郭帅、李延波为内审员，任命人：郭帅。提供《管理体系内审计划》，</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审核依据：ISO9001:2015、 ISO14001:2015、ISO45001:2018</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公司管理手册及管理体系文件</w:t>
            </w:r>
          </w:p>
          <w:p>
            <w:pPr>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审核组长：郭帅  审核组组员：李延波</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 xml:space="preserve">计划中有审核日程安排，内审员审核的部门及条款。计划审核的范围覆盖了所有的部门及条款。                                                                        </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查审核计划实施</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公司于2020年4月15-16日按照策划的时间进行了内审。出示《内审首末次会议签到表》， 各部门负责人签字齐全。提供了各部门内审检查表。查阅领导层、办公室、业务部检查表，对审核的事实进行了描述，审核条款无遗漏。本次审核开出1项不符合报告。</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不符合项：未能提供火灾应急演练记录</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不符合条款： ISO45001:2018 标准 8.2条款、GB/T24001-2016标准 8.2条款</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对不符合项进行了原因分析及纠正，由内审员进行了验证。</w:t>
            </w:r>
          </w:p>
          <w:p>
            <w:pPr>
              <w:spacing w:line="240" w:lineRule="exact"/>
              <w:rPr>
                <w:b/>
                <w:color w:val="000000" w:themeColor="text1"/>
                <w:sz w:val="20"/>
                <w:szCs w:val="20"/>
              </w:rPr>
            </w:pPr>
            <w:r>
              <w:rPr>
                <w:rFonts w:hint="eastAsia" w:ascii="Times New Roman" w:hAnsi="Times New Roman" w:cs="Times New Roman"/>
                <w:color w:val="auto"/>
                <w:szCs w:val="22"/>
                <w:lang w:val="en-US" w:eastAsia="zh-CN"/>
              </w:rPr>
              <w:t>提供了《内部审核报告》，结论：通过内审发现了一些问题，今后需要加强学习和培训。经过1个周期的体系运行，证实公司建立的管理体系经内部符合性、适宜性和有效性。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2020年4月29日由总经理主持进行了管理评审，提供了会议签到表。</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出示各部门输入资料：各部门领导做了本部门的体系运行工作汇报。</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管理评审提出的改进措施正在实施过程中。</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提供了《环境、职业健康安全管理体系管理评审计划》，明确了评审目的、地点、参加评审的人员、评审的内容和各部门需准备的评审材料，计划于2020.4.29.实施。</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查实施：</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查按照策划的要求，于2020.4.29由总经理主持进行了管理评审。提供了会议签到表 。</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出示各部门输入资料：部门领导做了本部门的体系运行工作汇报。</w:t>
            </w:r>
          </w:p>
          <w:p>
            <w:pPr>
              <w:jc w:val="both"/>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改进的建议：会议确定了两条改进建议：1、加强对标准的学习；2、加强对销售人员的产品和服务意识培训</w:t>
            </w:r>
          </w:p>
          <w:p>
            <w:pPr>
              <w:spacing w:line="240" w:lineRule="exact"/>
              <w:rPr>
                <w:b/>
                <w:color w:val="000000" w:themeColor="text1"/>
                <w:sz w:val="20"/>
                <w:szCs w:val="20"/>
              </w:rPr>
            </w:pPr>
            <w:r>
              <w:rPr>
                <w:rFonts w:hint="eastAsia" w:ascii="Times New Roman" w:hAnsi="Times New Roman" w:cs="Times New Roman"/>
                <w:color w:val="auto"/>
                <w:szCs w:val="21"/>
                <w:lang w:val="en-US" w:eastAsia="zh-CN"/>
              </w:rPr>
              <w:t>管理评审提出的改进措施正在实施中，计划6月内完成。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eastAsia="zh-CN"/>
              </w:rPr>
              <w:t>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8"/>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szCs w:val="21"/>
              </w:rPr>
            </w:pPr>
            <w:r>
              <w:rPr>
                <w:rFonts w:hint="eastAsia"/>
                <w:b/>
                <w:color w:val="000000" w:themeColor="text1"/>
                <w:sz w:val="20"/>
                <w:szCs w:val="20"/>
              </w:rPr>
              <w:t>1 纠正/预防措施的实施及效果</w:t>
            </w:r>
            <w:r>
              <w:rPr>
                <w:rFonts w:hint="eastAsia"/>
                <w:b/>
                <w:color w:val="000000" w:themeColor="text1"/>
                <w:sz w:val="20"/>
                <w:szCs w:val="20"/>
                <w:lang w:eastAsia="zh-CN"/>
              </w:rPr>
              <w:t>：</w:t>
            </w: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3. 一阶段提出问题的整改情况</w:t>
            </w:r>
            <w:r>
              <w:rPr>
                <w:rFonts w:hint="eastAsia"/>
                <w:b/>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rFonts w:hint="eastAsia" w:eastAsia="宋体"/>
          <w:b/>
          <w:color w:val="000000" w:themeColor="text1"/>
          <w:lang w:eastAsia="zh-CN"/>
        </w:rPr>
      </w:pPr>
      <w:r>
        <w:rPr>
          <w:rFonts w:hint="eastAsia"/>
          <w:b/>
          <w:color w:val="000000" w:themeColor="text1"/>
        </w:rPr>
        <w:t>八、已识别出的任何未解决的问题：</w:t>
      </w:r>
      <w:r>
        <w:rPr>
          <w:rFonts w:hint="eastAsia"/>
          <w:b/>
          <w:color w:val="000000" w:themeColor="text1"/>
          <w:lang w:eastAsia="zh-CN"/>
        </w:rPr>
        <w:t>无</w:t>
      </w:r>
      <w:bookmarkStart w:id="21" w:name="_GoBack"/>
      <w:bookmarkEnd w:id="21"/>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80" w:lineRule="exact"/>
              <w:ind w:left="220" w:leftChars="105" w:firstLine="663" w:firstLineChars="300"/>
              <w:rPr>
                <w:b/>
                <w:color w:val="000000" w:themeColor="text1"/>
                <w:sz w:val="28"/>
                <w:szCs w:val="28"/>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color w:val="000000" w:themeColor="text1"/>
                <w:sz w:val="22"/>
                <w:szCs w:val="22"/>
                <w:lang w:eastAsia="zh-CN"/>
              </w:rPr>
              <w:t>，</w:t>
            </w: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r>
              <w:rPr>
                <w:rFonts w:hint="eastAsia"/>
                <w:b/>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59040" behindDoc="0" locked="0" layoutInCell="1" allowOverlap="1">
            <wp:simplePos x="0" y="0"/>
            <wp:positionH relativeFrom="column">
              <wp:posOffset>1132840</wp:posOffset>
            </wp:positionH>
            <wp:positionV relativeFrom="paragraph">
              <wp:posOffset>354330</wp:posOffset>
            </wp:positionV>
            <wp:extent cx="573405" cy="283210"/>
            <wp:effectExtent l="0" t="0" r="17145" b="254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2" w:firstLineChars="250"/>
        <w:rPr>
          <w:b/>
          <w:color w:val="000000" w:themeColor="text1"/>
        </w:rPr>
      </w:pPr>
      <w:r>
        <w:rPr>
          <w:rFonts w:hint="eastAsia" w:ascii="方正仿宋简体" w:eastAsia="方正仿宋简体"/>
          <w:b/>
          <w:sz w:val="24"/>
        </w:rPr>
        <w:drawing>
          <wp:anchor distT="0" distB="0" distL="114300" distR="114300" simplePos="0" relativeHeight="251661312" behindDoc="0" locked="0" layoutInCell="1" allowOverlap="1">
            <wp:simplePos x="0" y="0"/>
            <wp:positionH relativeFrom="column">
              <wp:posOffset>1614805</wp:posOffset>
            </wp:positionH>
            <wp:positionV relativeFrom="paragraph">
              <wp:posOffset>168275</wp:posOffset>
            </wp:positionV>
            <wp:extent cx="417830" cy="303530"/>
            <wp:effectExtent l="0" t="0" r="1270" b="1270"/>
            <wp:wrapNone/>
            <wp:docPr id="4" name="图片 4" descr="fe226ddb9eb98ebc15582885d20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e226ddb9eb98ebc15582885d202189"/>
                    <pic:cNvPicPr>
                      <a:picLocks noChangeAspect="1"/>
                    </pic:cNvPicPr>
                  </pic:nvPicPr>
                  <pic:blipFill>
                    <a:blip r:embed="rId7">
                      <a:lum contrast="18000"/>
                    </a:blip>
                    <a:srcRect l="11189" t="27788" r="20286" b="16263"/>
                    <a:stretch>
                      <a:fillRect/>
                    </a:stretch>
                  </pic:blipFill>
                  <pic:spPr>
                    <a:xfrm>
                      <a:off x="0" y="0"/>
                      <a:ext cx="417830" cy="30353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2020年6月19日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23955968" behindDoc="0" locked="0" layoutInCell="1" allowOverlap="1">
            <wp:simplePos x="0" y="0"/>
            <wp:positionH relativeFrom="column">
              <wp:posOffset>826770</wp:posOffset>
            </wp:positionH>
            <wp:positionV relativeFrom="paragraph">
              <wp:posOffset>136525</wp:posOffset>
            </wp:positionV>
            <wp:extent cx="573405" cy="283210"/>
            <wp:effectExtent l="0" t="0" r="17145" b="254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2020年6月21日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F6EB0"/>
    <w:multiLevelType w:val="singleLevel"/>
    <w:tmpl w:val="AEBF6EB0"/>
    <w:lvl w:ilvl="0" w:tentative="0">
      <w:start w:val="2"/>
      <w:numFmt w:val="decimal"/>
      <w:lvlText w:val="%1."/>
      <w:lvlJc w:val="left"/>
      <w:pPr>
        <w:tabs>
          <w:tab w:val="left" w:pos="312"/>
        </w:tabs>
      </w:pPr>
    </w:lvl>
  </w:abstractNum>
  <w:abstractNum w:abstractNumId="1">
    <w:nsid w:val="AFB56353"/>
    <w:multiLevelType w:val="singleLevel"/>
    <w:tmpl w:val="AFB56353"/>
    <w:lvl w:ilvl="0" w:tentative="0">
      <w:start w:val="8"/>
      <w:numFmt w:val="decimal"/>
      <w:suff w:val="space"/>
      <w:lvlText w:val="%1."/>
      <w:lvlJc w:val="left"/>
    </w:lvl>
  </w:abstractNum>
  <w:abstractNum w:abstractNumId="2">
    <w:nsid w:val="BAA70288"/>
    <w:multiLevelType w:val="singleLevel"/>
    <w:tmpl w:val="BAA70288"/>
    <w:lvl w:ilvl="0" w:tentative="0">
      <w:start w:val="9"/>
      <w:numFmt w:val="decimal"/>
      <w:suff w:val="space"/>
      <w:lvlText w:val="%1."/>
      <w:lvlJc w:val="left"/>
    </w:lvl>
  </w:abstractNum>
  <w:abstractNum w:abstractNumId="3">
    <w:nsid w:val="C1A10DF8"/>
    <w:multiLevelType w:val="singleLevel"/>
    <w:tmpl w:val="C1A10DF8"/>
    <w:lvl w:ilvl="0" w:tentative="0">
      <w:start w:val="3"/>
      <w:numFmt w:val="decimal"/>
      <w:lvlText w:val="%1."/>
      <w:lvlJc w:val="left"/>
      <w:pPr>
        <w:tabs>
          <w:tab w:val="left" w:pos="312"/>
        </w:tabs>
      </w:pPr>
    </w:lvl>
  </w:abstractNum>
  <w:abstractNum w:abstractNumId="4">
    <w:nsid w:val="C678C1AB"/>
    <w:multiLevelType w:val="singleLevel"/>
    <w:tmpl w:val="C678C1AB"/>
    <w:lvl w:ilvl="0" w:tentative="0">
      <w:start w:val="7"/>
      <w:numFmt w:val="decimal"/>
      <w:suff w:val="space"/>
      <w:lvlText w:val="%1."/>
      <w:lvlJc w:val="left"/>
    </w:lvl>
  </w:abstractNum>
  <w:abstractNum w:abstractNumId="5">
    <w:nsid w:val="40647112"/>
    <w:multiLevelType w:val="singleLevel"/>
    <w:tmpl w:val="40647112"/>
    <w:lvl w:ilvl="0" w:tentative="0">
      <w:start w:val="2"/>
      <w:numFmt w:val="decimal"/>
      <w:suff w:val="nothing"/>
      <w:lvlText w:val="%1、"/>
      <w:lvlJc w:val="left"/>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6"/>
  </w:num>
  <w:num w:numId="2">
    <w:abstractNumId w:val="5"/>
  </w:num>
  <w:num w:numId="3">
    <w:abstractNumId w:val="3"/>
  </w:num>
  <w:num w:numId="4">
    <w:abstractNumId w:val="7"/>
  </w:num>
  <w:num w:numId="5">
    <w:abstractNumId w:val="4"/>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E09DB"/>
    <w:rsid w:val="00F47E52"/>
    <w:rsid w:val="00F7422D"/>
    <w:rsid w:val="00FB4A32"/>
    <w:rsid w:val="01545694"/>
    <w:rsid w:val="03294287"/>
    <w:rsid w:val="053260B1"/>
    <w:rsid w:val="06BC5215"/>
    <w:rsid w:val="07785C31"/>
    <w:rsid w:val="0B3B34CA"/>
    <w:rsid w:val="0FA44194"/>
    <w:rsid w:val="0FEA5829"/>
    <w:rsid w:val="10F6359B"/>
    <w:rsid w:val="1226109E"/>
    <w:rsid w:val="1231174D"/>
    <w:rsid w:val="13D33A20"/>
    <w:rsid w:val="15BE09C6"/>
    <w:rsid w:val="161D6914"/>
    <w:rsid w:val="1A4B4D4A"/>
    <w:rsid w:val="1DE24EEF"/>
    <w:rsid w:val="217233B8"/>
    <w:rsid w:val="21E82493"/>
    <w:rsid w:val="2A7D180E"/>
    <w:rsid w:val="2B3D1F8D"/>
    <w:rsid w:val="2BB27021"/>
    <w:rsid w:val="2BC06274"/>
    <w:rsid w:val="2D0D113E"/>
    <w:rsid w:val="33C33CA1"/>
    <w:rsid w:val="34162594"/>
    <w:rsid w:val="344E6A00"/>
    <w:rsid w:val="382056DA"/>
    <w:rsid w:val="3AC32243"/>
    <w:rsid w:val="3C7520E7"/>
    <w:rsid w:val="41633909"/>
    <w:rsid w:val="452D2FB4"/>
    <w:rsid w:val="45EB61BC"/>
    <w:rsid w:val="46EA156D"/>
    <w:rsid w:val="47AD0DE1"/>
    <w:rsid w:val="487644D7"/>
    <w:rsid w:val="4D15083D"/>
    <w:rsid w:val="50923DB2"/>
    <w:rsid w:val="52151529"/>
    <w:rsid w:val="5301177B"/>
    <w:rsid w:val="536A7A55"/>
    <w:rsid w:val="544B7919"/>
    <w:rsid w:val="58F472C4"/>
    <w:rsid w:val="5D170A78"/>
    <w:rsid w:val="5E317E26"/>
    <w:rsid w:val="5E970C36"/>
    <w:rsid w:val="60EC4917"/>
    <w:rsid w:val="62994BC3"/>
    <w:rsid w:val="62C75FAA"/>
    <w:rsid w:val="636C4AE8"/>
    <w:rsid w:val="63D47A5A"/>
    <w:rsid w:val="649A72E9"/>
    <w:rsid w:val="670D1AA5"/>
    <w:rsid w:val="69257B69"/>
    <w:rsid w:val="696646FC"/>
    <w:rsid w:val="6AD07B18"/>
    <w:rsid w:val="6C234CBC"/>
    <w:rsid w:val="72803B56"/>
    <w:rsid w:val="73746A99"/>
    <w:rsid w:val="763804F1"/>
    <w:rsid w:val="7BC67E9A"/>
    <w:rsid w:val="7ED45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2020-06-21T06:15:09Z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