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-64135</wp:posOffset>
            </wp:positionV>
            <wp:extent cx="6736715" cy="9216390"/>
            <wp:effectExtent l="0" t="0" r="6985" b="3810"/>
            <wp:wrapNone/>
            <wp:docPr id="2" name="图片 2" descr="2a10499e969f076dfe8f8acd7f9a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10499e969f076dfe8f8acd7f9a4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921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赣州市水晶梦家居有限公司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江西省赣州市南康区经济开发区龙岭家具产业园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肖海军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0797-6634876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唐利花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0021-2019-QE</w:t>
            </w: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Q：软体床、软体沙发、弹簧软床垫的生产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E：软体床、软体沙发、弹簧软床垫的生产所涉及场所的相关环境管理活动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O：软体床、软体沙发、弹簧软床垫的生产所涉及的职业健康安全管理活动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Q：23.01.03;23.01.04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E：23.01.03;23.01.04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O：23.01.03;23.01.04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2020年06月15日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2020年06月16日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Q:23.01.03,23.01.04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E:23.01.03,23.01.04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15"/>
                <w:szCs w:val="15"/>
              </w:rPr>
              <w:t>O:23.01.03,23.01.04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O5.4协商与参与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目标及其实现的策划、Q6.3变更的策划、9.3管理评审、10.1改进、10.3持续改进，</w:t>
            </w:r>
          </w:p>
          <w:p>
            <w:pPr>
              <w:pStyle w:val="9"/>
              <w:spacing w:line="320" w:lineRule="exact"/>
              <w:ind w:firstLine="0" w:firstLineChars="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highlight w:val="none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行政</w:t>
            </w:r>
            <w:r>
              <w:rPr>
                <w:rFonts w:ascii="宋体" w:cs="Arial"/>
                <w:b/>
                <w:szCs w:val="24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 5.3组织的岗位、职责和权限、6.2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hint="eastAsia" w:ascii="宋体" w:hAnsi="宋体" w:cs="Arial"/>
                <w:sz w:val="21"/>
                <w:szCs w:val="21"/>
              </w:rPr>
              <w:t>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5.3组织的岗位、职责和权限、6.2.1环境目标、6.2.2实现环境目标措施的策划9.2 内部审核、10.2不符合/事件和纠正措施，6.1.2环境因素、6.1.3合规义务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6.1.4措施的策划、8.1运行策划和控制、9.1监视、测量、分析和评价（9.1.1总则、9.1.2合规性评价）、8.2应急准备和响应,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5.3组织的岗位、职责和权限、6.2.1职业健康安全目标、6.2.2实现职业健康安全目标措施的策划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6.16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质检</w:t>
            </w:r>
            <w:r>
              <w:rPr>
                <w:rFonts w:hint="eastAsia" w:ascii="宋体" w:hAns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Ansi="宋体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6.16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hint="eastAsia" w:ascii="宋体" w:cs="Arial"/>
                <w:sz w:val="21"/>
                <w:szCs w:val="21"/>
              </w:rPr>
              <w:t>8.4外部提供过程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8.5.3顾客或外部供方的财产、9.1.2顾客满意、8.5.5交付后的活动、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6.16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02EC7"/>
    <w:rsid w:val="0EE40A82"/>
    <w:rsid w:val="17442B15"/>
    <w:rsid w:val="5A0A09D7"/>
    <w:rsid w:val="61041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2020-07-02T09:24:14Z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