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0253-2020-QEO</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江西畅然科技发展有限公司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Changran Technology Development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江西省南昌市南昌高新技术产业开发区高新二路18号高新创业园创业大厦110、111、112、113、103、D208室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330096</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(英文)：Room 110, 111, 112, 113, 103, d208, Chuangye building, high tech park, No. 18, Gaoxin 2nd Road, Nanchang hi tech Industrial Development Zone, Nanchang City, Jiangxi Province zip code: 330096</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江西省南昌市南昌高新技术产业开发区高新二路18号高新创业园创业大厦110、111、112、113、103、D208室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330096</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(英文)：Room 110, 111, 112, 113, 103, d208, Chuangye building, high tech park, No. 18, Gaoxin 2nd Road, Nanchang hi tech Industrial Development Zone, Nanchang City, Jiangxi Province zip code: 330096</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91360100332985424Q</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18607918283</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李秀琼</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李秀琼</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Q：计算机系统集成；计算机软件开发与服务；计算机、通信设备、办公设备及耗材的销售</w:t>
      </w:r>
    </w:p>
    <w:p>
      <w:pPr>
        <w:pStyle w:val="2"/>
        <w:spacing w:line="360" w:lineRule="auto"/>
        <w:ind w:firstLine="0"/>
        <w:rPr>
          <w:rFonts w:hint="eastAsia"/>
          <w:b/>
          <w:color w:val="000000" w:themeColor="text1"/>
          <w:sz w:val="22"/>
          <w:szCs w:val="22"/>
        </w:rPr>
      </w:pPr>
      <w:r>
        <w:rPr>
          <w:rFonts w:hint="eastAsia"/>
          <w:b/>
          <w:color w:val="000000" w:themeColor="text1"/>
          <w:sz w:val="22"/>
          <w:szCs w:val="22"/>
        </w:rPr>
        <w:t>(英文)：Computer system integration; computer software development and service; sales of computers, communication equipment, office equipment and consumables</w:t>
      </w:r>
    </w:p>
    <w:p>
      <w:pPr>
        <w:pStyle w:val="2"/>
        <w:spacing w:line="360" w:lineRule="auto"/>
        <w:ind w:firstLine="0"/>
        <w:rPr>
          <w:rFonts w:hint="eastAsia"/>
          <w:b/>
          <w:color w:val="000000" w:themeColor="text1"/>
          <w:sz w:val="22"/>
          <w:szCs w:val="22"/>
        </w:rPr>
      </w:pPr>
      <w:r>
        <w:rPr>
          <w:rFonts w:hint="eastAsia"/>
          <w:b/>
          <w:color w:val="000000" w:themeColor="text1"/>
          <w:sz w:val="22"/>
          <w:szCs w:val="22"/>
        </w:rPr>
        <w:t>E：计算机系统集成；计算机软件开发与服务；计算机、通信设备、办公设备及耗材的销售及其所涉及相关</w:t>
      </w:r>
      <w:r>
        <w:rPr>
          <w:rFonts w:hint="eastAsia" w:ascii="宋体" w:hAnsi="宋体" w:cs="宋体"/>
          <w:b/>
          <w:color w:val="000000"/>
          <w:kern w:val="0"/>
          <w:sz w:val="21"/>
          <w:szCs w:val="21"/>
        </w:rPr>
        <w:t>环境</w:t>
      </w:r>
      <w:r>
        <w:rPr>
          <w:rFonts w:hint="eastAsia"/>
          <w:b/>
          <w:color w:val="000000" w:themeColor="text1"/>
          <w:sz w:val="22"/>
          <w:szCs w:val="22"/>
        </w:rPr>
        <w:t>管理活动</w:t>
      </w:r>
    </w:p>
    <w:p>
      <w:pPr>
        <w:pStyle w:val="2"/>
        <w:spacing w:line="360" w:lineRule="auto"/>
        <w:ind w:firstLine="0"/>
        <w:rPr>
          <w:rFonts w:hint="eastAsia"/>
          <w:b/>
          <w:color w:val="000000" w:themeColor="text1"/>
          <w:sz w:val="22"/>
          <w:szCs w:val="22"/>
        </w:rPr>
      </w:pPr>
      <w:r>
        <w:rPr>
          <w:rFonts w:hint="eastAsia"/>
          <w:b/>
          <w:color w:val="000000" w:themeColor="text1"/>
          <w:sz w:val="22"/>
          <w:szCs w:val="22"/>
        </w:rPr>
        <w:t>(英文)：Computer system integration; computer softw</w:t>
      </w:r>
      <w:bookmarkStart w:id="17" w:name="_GoBack"/>
      <w:bookmarkEnd w:id="17"/>
      <w:r>
        <w:rPr>
          <w:rFonts w:hint="eastAsia"/>
          <w:b/>
          <w:color w:val="000000" w:themeColor="text1"/>
          <w:sz w:val="22"/>
          <w:szCs w:val="22"/>
        </w:rPr>
        <w:t>are development and service; sales of computers, communication equipment, office equipment and consumables and related environmental management activities</w:t>
      </w:r>
    </w:p>
    <w:p>
      <w:pPr>
        <w:pStyle w:val="2"/>
        <w:spacing w:line="360" w:lineRule="auto"/>
        <w:ind w:firstLine="0"/>
        <w:rPr>
          <w:rFonts w:hint="eastAsia"/>
          <w:b/>
          <w:color w:val="000000" w:themeColor="text1"/>
          <w:sz w:val="22"/>
          <w:szCs w:val="22"/>
        </w:rPr>
      </w:pPr>
      <w:r>
        <w:rPr>
          <w:rFonts w:hint="eastAsia"/>
          <w:b/>
          <w:color w:val="000000" w:themeColor="text1"/>
          <w:sz w:val="22"/>
          <w:szCs w:val="22"/>
        </w:rPr>
        <w:t>O：计算机系统集成；计算机软件开发与服务；计算机、通信设备、办公设备及耗材的销售及其所涉及相关</w:t>
      </w:r>
      <w:r>
        <w:rPr>
          <w:rFonts w:hint="eastAsia" w:ascii="宋体" w:hAnsi="宋体" w:cs="宋体"/>
          <w:b/>
          <w:color w:val="000000"/>
          <w:kern w:val="0"/>
          <w:sz w:val="21"/>
          <w:szCs w:val="21"/>
        </w:rPr>
        <w:t>职业健康安全</w:t>
      </w:r>
      <w:r>
        <w:rPr>
          <w:rFonts w:hint="eastAsia"/>
          <w:b/>
          <w:color w:val="000000" w:themeColor="text1"/>
          <w:sz w:val="22"/>
          <w:szCs w:val="22"/>
        </w:rPr>
        <w:t>管理活动</w:t>
      </w:r>
      <w:bookmarkEnd w:id="15"/>
      <w:bookmarkStart w:id="16" w:name="审核范围英"/>
    </w:p>
    <w:p>
      <w:pPr>
        <w:pStyle w:val="2"/>
        <w:spacing w:line="360" w:lineRule="auto"/>
        <w:ind w:firstLine="0"/>
        <w:rPr>
          <w:rFonts w:hint="eastAsia"/>
          <w:b/>
          <w:color w:val="000000" w:themeColor="text1"/>
          <w:sz w:val="22"/>
          <w:szCs w:val="22"/>
        </w:rPr>
      </w:pPr>
      <w:r>
        <w:rPr>
          <w:rFonts w:hint="eastAsia"/>
          <w:b/>
          <w:color w:val="000000" w:themeColor="text1"/>
          <w:sz w:val="22"/>
          <w:szCs w:val="22"/>
        </w:rPr>
        <w:t>(英文)：</w:t>
      </w:r>
      <w:bookmarkEnd w:id="16"/>
      <w:r>
        <w:rPr>
          <w:rFonts w:hint="eastAsia"/>
          <w:b/>
          <w:color w:val="000000" w:themeColor="text1"/>
          <w:sz w:val="22"/>
          <w:szCs w:val="22"/>
        </w:rPr>
        <w:t>Computer system integration; computer software development and service; sales of computer, communication equipment, office equipment and consumables and related occupational health and safety management activities</w:t>
      </w:r>
    </w:p>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auto"/>
        <w:ind w:firstLine="0"/>
        <w:rPr>
          <w:b/>
          <w:color w:val="000000" w:themeColor="text1"/>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4140835</wp:posOffset>
            </wp:positionH>
            <wp:positionV relativeFrom="paragraph">
              <wp:posOffset>142240</wp:posOffset>
            </wp:positionV>
            <wp:extent cx="946785" cy="549275"/>
            <wp:effectExtent l="0" t="0" r="5715" b="9525"/>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0"/>
                    <a:stretch>
                      <a:fillRect/>
                    </a:stretch>
                  </pic:blipFill>
                  <pic:spPr>
                    <a:xfrm>
                      <a:off x="0" y="0"/>
                      <a:ext cx="946785" cy="549275"/>
                    </a:xfrm>
                    <a:prstGeom prst="rect">
                      <a:avLst/>
                    </a:prstGeom>
                  </pic:spPr>
                </pic:pic>
              </a:graphicData>
            </a:graphic>
          </wp:anchor>
        </w:drawing>
      </w: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2020.6.9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196E24"/>
    <w:rsid w:val="77105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2020-06-11T01:15:49Z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