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0253-2020-QEO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江西畅然科技发展有限公司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王景玲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万文杰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Q:33.02.01,33.02.04</w:t>
            </w:r>
          </w:p>
          <w:p>
            <w:pPr>
              <w:spacing w:line="240" w:lineRule="exact"/>
              <w:jc w:val="center"/>
              <w:rPr>
                <w:b/>
                <w:color w:val="000000"/>
                <w:sz w:val="20"/>
                <w:szCs w:val="20"/>
              </w:rPr>
            </w:pPr>
            <w:r>
              <w:rPr>
                <w:b/>
                <w:color w:val="000000"/>
                <w:sz w:val="20"/>
                <w:szCs w:val="20"/>
              </w:rPr>
              <w:t>E:33.02.01,33.02.04</w:t>
            </w:r>
          </w:p>
          <w:p>
            <w:pPr>
              <w:spacing w:line="240" w:lineRule="exact"/>
              <w:jc w:val="center"/>
              <w:rPr>
                <w:b/>
                <w:color w:val="000000"/>
                <w:sz w:val="20"/>
                <w:szCs w:val="20"/>
              </w:rPr>
            </w:pPr>
            <w:r>
              <w:rPr>
                <w:b/>
                <w:color w:val="000000"/>
                <w:sz w:val="20"/>
                <w:szCs w:val="20"/>
              </w:rPr>
              <w:t>O:33.02.01,33.02.04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江西畅然科技发展有限公司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江西省南昌市南昌高新技术产业开发区高新二路18号高新创业园创业大厦110、111、112、113、103、D208室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330096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江西省南昌市南昌高新技术产业开发区高新二路18号高新创业园创业大厦110、111、112、113、103、D208室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330096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李秀琼</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18607918283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李秀琼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李秀琼</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Q：计算机系统集成；计算机软件开发与服务；计算机、通信设备、办公设备及耗材的销售</w:t>
            </w:r>
          </w:p>
          <w:p>
            <w:pPr>
              <w:spacing w:line="400" w:lineRule="exact"/>
              <w:rPr>
                <w:rFonts w:ascii="宋体" w:hAnsi="宋体"/>
                <w:b/>
                <w:color w:val="000000"/>
                <w:sz w:val="20"/>
                <w:szCs w:val="20"/>
              </w:rPr>
            </w:pPr>
            <w:r>
              <w:rPr>
                <w:rFonts w:ascii="宋体" w:hAnsi="宋体"/>
                <w:b/>
                <w:color w:val="000000"/>
                <w:sz w:val="20"/>
                <w:szCs w:val="20"/>
              </w:rPr>
              <w:t>E：计算机系统集成；计算机软件开发与服务；计算机、通信设备、办公设备及耗材的销售及其所涉及相关场所的管理活动</w:t>
            </w:r>
          </w:p>
          <w:p>
            <w:pPr>
              <w:spacing w:line="400" w:lineRule="exact"/>
              <w:rPr>
                <w:rFonts w:ascii="宋体" w:hAnsi="宋体"/>
                <w:b/>
                <w:color w:val="000000"/>
                <w:sz w:val="20"/>
                <w:szCs w:val="20"/>
              </w:rPr>
            </w:pPr>
            <w:r>
              <w:rPr>
                <w:rFonts w:ascii="宋体" w:hAnsi="宋体"/>
                <w:b/>
                <w:color w:val="000000"/>
                <w:sz w:val="20"/>
                <w:szCs w:val="20"/>
              </w:rPr>
              <w:t>O：计算机系统集成；计算机软件开发与服务；计算机、通信设备、办公设备及耗材的销售及其所涉及相关场所的管理活动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Q：29.12.00;33.02.01;33.02.04</w:t>
            </w:r>
          </w:p>
          <w:p>
            <w:pPr>
              <w:spacing w:line="280" w:lineRule="exact"/>
              <w:rPr>
                <w:rFonts w:ascii="宋体"/>
                <w:b/>
                <w:color w:val="000000"/>
                <w:sz w:val="20"/>
                <w:szCs w:val="20"/>
              </w:rPr>
            </w:pPr>
            <w:r>
              <w:rPr>
                <w:rFonts w:ascii="宋体"/>
                <w:b/>
                <w:color w:val="000000"/>
                <w:sz w:val="20"/>
                <w:szCs w:val="20"/>
              </w:rPr>
              <w:t>E：29.12.00;33.02.01;33.02.04</w:t>
            </w:r>
          </w:p>
          <w:p>
            <w:pPr>
              <w:spacing w:line="280" w:lineRule="exact"/>
              <w:rPr>
                <w:rFonts w:ascii="宋体"/>
                <w:b/>
                <w:color w:val="000000"/>
                <w:sz w:val="20"/>
                <w:szCs w:val="20"/>
              </w:rPr>
            </w:pPr>
            <w:r>
              <w:rPr>
                <w:rFonts w:ascii="宋体"/>
                <w:b/>
                <w:color w:val="000000"/>
                <w:sz w:val="20"/>
                <w:szCs w:val="20"/>
              </w:rPr>
              <w:t>O：29.12.00;33.02.01;33.02.04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w:t>
      </w:r>
      <w:r>
        <w:rPr>
          <w:rFonts w:hint="eastAsia" w:ascii="宋体" w:hAnsi="宋体"/>
          <w:b/>
          <w:color w:val="000000"/>
          <w:sz w:val="20"/>
          <w:szCs w:val="20"/>
          <w:lang w:val="en-US" w:eastAsia="zh-CN"/>
        </w:rPr>
        <w:t>三体系建立、运行和实施的基本情况。</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w:t>
      </w:r>
      <w:r>
        <w:rPr>
          <w:rFonts w:hint="eastAsia" w:ascii="宋体" w:hAnsi="宋体"/>
          <w:b/>
          <w:color w:val="000000"/>
          <w:sz w:val="20"/>
          <w:szCs w:val="20"/>
          <w:lang w:val="en-US" w:eastAsia="zh-CN"/>
        </w:rPr>
        <w:t>视频</w:t>
      </w:r>
      <w:r>
        <w:rPr>
          <w:rFonts w:hint="eastAsia" w:ascii="宋体" w:hAnsi="宋体"/>
          <w:b/>
          <w:color w:val="000000"/>
          <w:sz w:val="20"/>
          <w:szCs w:val="20"/>
        </w:rPr>
        <w:t>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管理层、行政部、财务部、技术部、销售部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办公场所、多场所一处</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质量管理体系覆盖范围考虑了标准</w:t>
            </w:r>
            <w:r>
              <w:rPr>
                <w:rFonts w:ascii="宋体" w:hAnsi="宋体"/>
                <w:color w:val="000000"/>
                <w:spacing w:val="-10"/>
                <w:sz w:val="20"/>
                <w:szCs w:val="20"/>
              </w:rPr>
              <w:t>a)</w:t>
            </w:r>
            <w:r>
              <w:rPr>
                <w:rFonts w:hint="eastAsia" w:ascii="宋体" w:hAnsi="宋体" w:cs="Arial"/>
                <w:kern w:val="0"/>
                <w:sz w:val="21"/>
                <w:szCs w:val="21"/>
              </w:rPr>
              <w:t>计算机软件单元测试</w:t>
            </w:r>
            <w:r>
              <w:rPr>
                <w:rFonts w:hint="eastAsia" w:ascii="宋体" w:hAnsi="宋体" w:cs="Arial"/>
                <w:kern w:val="0"/>
                <w:sz w:val="21"/>
                <w:szCs w:val="21"/>
                <w:lang w:eastAsia="zh-CN"/>
              </w:rPr>
              <w:t>、</w:t>
            </w:r>
            <w:r>
              <w:rPr>
                <w:rFonts w:hint="eastAsia" w:ascii="宋体" w:hAnsi="宋体" w:cs="Arial"/>
                <w:kern w:val="0"/>
                <w:sz w:val="21"/>
                <w:szCs w:val="21"/>
              </w:rPr>
              <w:t>信息技术 软件产品评价 质量特性及其使用指南</w:t>
            </w:r>
            <w:r>
              <w:rPr>
                <w:rFonts w:hint="eastAsia" w:ascii="宋体" w:hAnsi="宋体" w:cs="Arial"/>
                <w:kern w:val="0"/>
                <w:sz w:val="21"/>
                <w:szCs w:val="21"/>
                <w:lang w:eastAsia="zh-CN"/>
              </w:rPr>
              <w:t>、</w:t>
            </w:r>
            <w:r>
              <w:rPr>
                <w:rFonts w:hint="eastAsia" w:ascii="宋体" w:hAnsi="宋体" w:cs="Arial"/>
                <w:kern w:val="0"/>
                <w:sz w:val="21"/>
                <w:szCs w:val="21"/>
              </w:rPr>
              <w:t>信息技术 CASE工具的评价与选择指南</w:t>
            </w:r>
            <w:r>
              <w:rPr>
                <w:rFonts w:hint="eastAsia" w:ascii="宋体" w:hAnsi="宋体" w:cs="Arial"/>
                <w:kern w:val="0"/>
                <w:sz w:val="21"/>
                <w:szCs w:val="21"/>
                <w:lang w:eastAsia="zh-CN"/>
              </w:rPr>
              <w:t>、</w:t>
            </w:r>
            <w:r>
              <w:rPr>
                <w:rFonts w:hint="eastAsia" w:ascii="宋体" w:hAnsi="宋体" w:cs="Arial"/>
                <w:kern w:val="0"/>
                <w:sz w:val="21"/>
                <w:szCs w:val="21"/>
              </w:rPr>
              <w:t>信息技术 系统及软件完整性级别</w:t>
            </w:r>
            <w:r>
              <w:rPr>
                <w:rFonts w:hint="eastAsia" w:ascii="宋体" w:hAnsi="宋体" w:cs="Arial"/>
                <w:kern w:val="0"/>
                <w:sz w:val="21"/>
                <w:szCs w:val="21"/>
                <w:lang w:val="en-US" w:eastAsia="zh-CN"/>
              </w:rPr>
              <w:t>等</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spacing w:line="360" w:lineRule="auto"/>
              <w:rPr>
                <w:rFonts w:ascii="宋体"/>
                <w:b/>
                <w:color w:val="000000"/>
                <w:sz w:val="20"/>
                <w:szCs w:val="20"/>
              </w:rPr>
            </w:pPr>
            <w:r>
              <w:rPr>
                <w:rFonts w:hint="eastAsia" w:ascii="宋体" w:hAnsi="宋体"/>
                <w:b/>
                <w:color w:val="000000"/>
                <w:sz w:val="20"/>
                <w:szCs w:val="20"/>
              </w:rPr>
              <w:t>服务：</w:t>
            </w:r>
            <w:r>
              <w:rPr>
                <w:sz w:val="21"/>
                <w:szCs w:val="21"/>
              </w:rPr>
              <w:t>计算机系统集成；计算机软件开发与服务；计算机、通信设备、办公设备及耗材的销售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管理层、行政部、财务部、销售部、技术部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340" w:lineRule="exact"/>
              <w:rPr>
                <w:rFonts w:hint="eastAsia" w:ascii="宋体" w:hAnsi="宋体"/>
                <w:color w:val="000000"/>
                <w:spacing w:val="20"/>
                <w:sz w:val="24"/>
              </w:rPr>
            </w:pPr>
            <w:r>
              <w:rPr>
                <w:rFonts w:hint="eastAsia" w:ascii="宋体" w:hAnsi="宋体"/>
                <w:color w:val="000000"/>
                <w:sz w:val="20"/>
                <w:szCs w:val="20"/>
              </w:rPr>
              <w:t>受审核方位于：</w:t>
            </w:r>
            <w:r>
              <w:t>江西省南昌市南昌高新技术产业开发区高新二路18号高新创业园创业大厦110、111、112、113、103、D208室</w:t>
            </w:r>
          </w:p>
          <w:p>
            <w:pPr>
              <w:tabs>
                <w:tab w:val="left" w:pos="360"/>
              </w:tabs>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产品技术标准号：</w:t>
            </w:r>
            <w:r>
              <w:rPr>
                <w:rFonts w:hint="eastAsia" w:ascii="宋体" w:hAnsi="宋体" w:cs="Arial"/>
                <w:kern w:val="0"/>
                <w:sz w:val="21"/>
                <w:szCs w:val="21"/>
              </w:rPr>
              <w:t>计算机软件单元测试</w:t>
            </w:r>
            <w:r>
              <w:rPr>
                <w:rFonts w:hint="eastAsia" w:ascii="宋体" w:hAnsi="宋体" w:cs="Arial"/>
                <w:kern w:val="0"/>
                <w:sz w:val="21"/>
                <w:szCs w:val="21"/>
                <w:lang w:eastAsia="zh-CN"/>
              </w:rPr>
              <w:t>、</w:t>
            </w:r>
            <w:r>
              <w:rPr>
                <w:rFonts w:hint="eastAsia" w:ascii="宋体" w:hAnsi="宋体" w:cs="Arial"/>
                <w:kern w:val="0"/>
                <w:sz w:val="21"/>
                <w:szCs w:val="21"/>
              </w:rPr>
              <w:t>信息技术 软件产品评价 质量特性及其使用指南</w:t>
            </w:r>
            <w:r>
              <w:rPr>
                <w:rFonts w:hint="eastAsia" w:ascii="宋体" w:hAnsi="宋体" w:cs="Arial"/>
                <w:kern w:val="0"/>
                <w:sz w:val="21"/>
                <w:szCs w:val="21"/>
                <w:lang w:eastAsia="zh-CN"/>
              </w:rPr>
              <w:t>、</w:t>
            </w:r>
            <w:r>
              <w:rPr>
                <w:rFonts w:hint="eastAsia" w:ascii="宋体" w:hAnsi="宋体" w:cs="Arial"/>
                <w:kern w:val="0"/>
                <w:sz w:val="21"/>
                <w:szCs w:val="21"/>
              </w:rPr>
              <w:t>信息技术 CASE工具的评价与选择指南</w:t>
            </w:r>
            <w:r>
              <w:rPr>
                <w:rFonts w:hint="eastAsia" w:ascii="宋体" w:hAnsi="宋体" w:cs="Arial"/>
                <w:kern w:val="0"/>
                <w:sz w:val="21"/>
                <w:szCs w:val="21"/>
                <w:lang w:eastAsia="zh-CN"/>
              </w:rPr>
              <w:t>、</w:t>
            </w:r>
            <w:r>
              <w:rPr>
                <w:rFonts w:hint="eastAsia" w:ascii="宋体" w:hAnsi="宋体" w:cs="Arial"/>
                <w:kern w:val="0"/>
                <w:sz w:val="21"/>
                <w:szCs w:val="21"/>
              </w:rPr>
              <w:t>信息技术 系统及软件完整性级别</w:t>
            </w:r>
            <w:r>
              <w:rPr>
                <w:rFonts w:hint="eastAsia" w:ascii="宋体" w:hAnsi="宋体" w:cs="Arial"/>
                <w:kern w:val="0"/>
                <w:sz w:val="21"/>
                <w:szCs w:val="21"/>
                <w:lang w:val="en-US" w:eastAsia="zh-CN"/>
              </w:rPr>
              <w:t>等</w:t>
            </w: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Times New Roman" w:hAnsi="Times New Roman"/>
                <w:color w:val="000000"/>
                <w:kern w:val="0"/>
                <w:sz w:val="20"/>
                <w:szCs w:val="20"/>
                <w:lang w:bidi="ar"/>
              </w:rPr>
              <w:t>中华人民共和国环境保护法</w:t>
            </w:r>
            <w:r>
              <w:rPr>
                <w:rFonts w:hint="eastAsia"/>
                <w:color w:val="000000"/>
                <w:kern w:val="0"/>
                <w:sz w:val="20"/>
                <w:szCs w:val="20"/>
                <w:lang w:eastAsia="zh-CN" w:bidi="ar"/>
              </w:rPr>
              <w:t>、</w:t>
            </w:r>
            <w:r>
              <w:rPr>
                <w:rFonts w:ascii="Times New Roman" w:hAnsi="Times New Roman"/>
                <w:color w:val="000000"/>
                <w:kern w:val="0"/>
                <w:sz w:val="20"/>
                <w:szCs w:val="20"/>
                <w:lang w:bidi="ar"/>
              </w:rPr>
              <w:t>中华人民共和国大气污染防治法</w:t>
            </w:r>
            <w:r>
              <w:rPr>
                <w:rFonts w:hint="eastAsia"/>
                <w:color w:val="000000"/>
                <w:kern w:val="0"/>
                <w:sz w:val="20"/>
                <w:szCs w:val="20"/>
                <w:lang w:eastAsia="zh-CN" w:bidi="ar"/>
              </w:rPr>
              <w:t>、</w:t>
            </w:r>
            <w:r>
              <w:rPr>
                <w:rFonts w:hint="eastAsia" w:ascii="Times New Roman" w:hAnsi="Times New Roman"/>
                <w:color w:val="000000"/>
                <w:kern w:val="0"/>
                <w:sz w:val="20"/>
                <w:szCs w:val="20"/>
                <w:lang w:bidi="ar"/>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spacing w:line="480" w:lineRule="exact"/>
              <w:jc w:val="left"/>
              <w:textAlignment w:val="baseline"/>
              <w:rPr>
                <w:rFonts w:hint="eastAsia" w:hAnsi="宋体"/>
                <w:b/>
                <w:bCs/>
                <w:color w:val="000000"/>
                <w:spacing w:val="12"/>
                <w:sz w:val="21"/>
                <w:szCs w:val="21"/>
              </w:rPr>
            </w:pPr>
            <w:r>
              <w:rPr>
                <w:rFonts w:hint="eastAsia" w:hAnsi="宋体"/>
                <w:b/>
                <w:bCs/>
                <w:color w:val="000000"/>
                <w:spacing w:val="12"/>
                <w:sz w:val="24"/>
                <w:szCs w:val="24"/>
                <w:lang w:val="en-US" w:eastAsia="zh-CN"/>
              </w:rPr>
              <w:t xml:space="preserve"> </w:t>
            </w:r>
            <w:r>
              <w:rPr>
                <w:rFonts w:hint="eastAsia" w:ascii="宋体" w:hAnsi="宋体"/>
                <w:color w:val="000000"/>
                <w:spacing w:val="20"/>
                <w:sz w:val="21"/>
                <w:szCs w:val="21"/>
                <w:lang w:eastAsia="zh-CN"/>
              </w:rPr>
              <w:t>计算机系统集成；计算机软件开发与服务</w:t>
            </w:r>
            <w:r>
              <w:rPr>
                <w:rFonts w:hint="eastAsia" w:hAnsi="宋体"/>
                <w:color w:val="000000"/>
                <w:spacing w:val="20"/>
                <w:sz w:val="21"/>
                <w:szCs w:val="21"/>
                <w:lang w:eastAsia="zh-CN"/>
              </w:rPr>
              <w:t>工艺流程：</w:t>
            </w:r>
          </w:p>
          <w:p>
            <w:pPr>
              <w:spacing w:line="480" w:lineRule="exact"/>
              <w:rPr>
                <w:rFonts w:hint="eastAsia"/>
                <w:color w:val="000000"/>
                <w:sz w:val="21"/>
                <w:szCs w:val="21"/>
              </w:rPr>
            </w:pPr>
            <w:r>
              <w:rPr>
                <w:rFonts w:hint="eastAsia"/>
                <w:color w:val="000000"/>
                <w:sz w:val="21"/>
                <w:szCs w:val="21"/>
              </w:rPr>
              <w:t>应用要求</w:t>
            </w:r>
            <w:r>
              <w:rPr>
                <w:rFonts w:hint="eastAsia"/>
                <w:color w:val="000000"/>
                <w:sz w:val="21"/>
                <w:szCs w:val="21"/>
              </w:rPr>
              <w:softHyphen/>
            </w:r>
            <w:r>
              <w:rPr>
                <w:rFonts w:hint="eastAsia"/>
                <w:color w:val="000000"/>
                <w:sz w:val="21"/>
                <w:szCs w:val="21"/>
              </w:rPr>
              <w:softHyphen/>
            </w:r>
            <w:r>
              <w:rPr>
                <w:rFonts w:hint="eastAsia"/>
                <w:color w:val="000000"/>
                <w:sz w:val="21"/>
                <w:szCs w:val="21"/>
              </w:rPr>
              <w:softHyphen/>
            </w:r>
            <w:r>
              <w:rPr>
                <w:rFonts w:hint="eastAsia"/>
                <w:color w:val="000000"/>
                <w:sz w:val="21"/>
                <w:szCs w:val="21"/>
              </w:rPr>
              <w:t>——计算机相关技术——选择软、硬件设备———安装调试——验收</w:t>
            </w:r>
          </w:p>
          <w:p>
            <w:pPr>
              <w:rPr>
                <w:rFonts w:hint="eastAsia"/>
                <w:color w:val="000000"/>
                <w:sz w:val="21"/>
                <w:szCs w:val="21"/>
                <w:lang w:val="en-US" w:eastAsia="zh-CN"/>
              </w:rPr>
            </w:pPr>
            <w:r>
              <w:rPr>
                <w:rFonts w:hint="eastAsia"/>
                <w:color w:val="000000"/>
                <w:sz w:val="21"/>
                <w:szCs w:val="21"/>
                <w:lang w:val="en-US" w:eastAsia="zh-CN"/>
              </w:rPr>
              <w:t>产品销售范围工艺流程：</w:t>
            </w:r>
          </w:p>
          <w:p>
            <w:pPr>
              <w:ind w:firstLine="210" w:firstLineChars="100"/>
              <w:rPr>
                <w:rFonts w:ascii="宋体"/>
                <w:color w:val="000000"/>
                <w:sz w:val="20"/>
                <w:szCs w:val="20"/>
              </w:rPr>
            </w:pPr>
            <w:r>
              <w:rPr>
                <w:rFonts w:hint="eastAsia"/>
                <w:sz w:val="21"/>
                <w:szCs w:val="21"/>
              </w:rPr>
              <w:t>产品要求信息获取----产品要求评审-----签订合同----采购 -----质检------销售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销售服务管理规程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设计开发、销售过程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电脑、打印机、投影仪、人工搬运小推、及办公桌椅及消防设施。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val="0"/>
                <w:bCs/>
                <w:sz w:val="20"/>
                <w:lang w:val="en-US" w:eastAsia="zh-CN"/>
              </w:rPr>
              <w:t>潜在火灾、能源消耗、固废排放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b w:val="0"/>
                <w:bCs w:val="0"/>
                <w:sz w:val="20"/>
                <w:szCs w:val="20"/>
              </w:rPr>
              <w:t>废弃物控制程序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eastAsia="zh-CN"/>
              </w:rPr>
              <w:t>、</w:t>
            </w:r>
            <w:r>
              <w:rPr>
                <w:rFonts w:hint="eastAsia"/>
                <w:b w:val="0"/>
                <w:bCs w:val="0"/>
                <w:sz w:val="20"/>
                <w:szCs w:val="20"/>
              </w:rPr>
              <w:t>资源能源控制程序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 w:val="0"/>
                <w:bCs/>
                <w:sz w:val="20"/>
                <w:lang w:val="en-US" w:eastAsia="zh-CN"/>
              </w:rPr>
              <w:t>触电、火灾和意外伤害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b w:val="0"/>
                <w:bCs w:val="0"/>
                <w:sz w:val="20"/>
                <w:szCs w:val="20"/>
              </w:rPr>
              <w:t>劳动防护用品控制程序</w:t>
            </w:r>
            <w:r>
              <w:rPr>
                <w:rFonts w:hint="eastAsia"/>
                <w:b w:val="0"/>
                <w:bCs w:val="0"/>
                <w:sz w:val="20"/>
                <w:szCs w:val="20"/>
                <w:lang w:eastAsia="zh-CN"/>
              </w:rPr>
              <w:t>、</w:t>
            </w:r>
            <w:r>
              <w:rPr>
                <w:rFonts w:hint="eastAsia"/>
                <w:b w:val="0"/>
                <w:bCs w:val="0"/>
                <w:sz w:val="20"/>
                <w:szCs w:val="20"/>
              </w:rPr>
              <w:t>应急准备和响应控制程序</w:t>
            </w:r>
            <w:r>
              <w:rPr>
                <w:rFonts w:hint="eastAsia"/>
                <w:b w:val="0"/>
                <w:bCs w:val="0"/>
                <w:sz w:val="20"/>
                <w:szCs w:val="20"/>
                <w:lang w:eastAsia="zh-CN"/>
              </w:rPr>
              <w:t>、</w:t>
            </w:r>
            <w:r>
              <w:rPr>
                <w:rFonts w:hint="eastAsia"/>
                <w:b w:val="0"/>
                <w:bCs w:val="0"/>
                <w:sz w:val="20"/>
                <w:szCs w:val="20"/>
              </w:rPr>
              <w:t>消防控制程序</w:t>
            </w:r>
            <w:r>
              <w:rPr>
                <w:rFonts w:hint="eastAsia"/>
                <w:b w:val="0"/>
                <w:bCs w:val="0"/>
                <w:sz w:val="20"/>
                <w:szCs w:val="20"/>
                <w:lang w:val="en-US" w:eastAsia="zh-CN"/>
              </w:rPr>
              <w:t>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25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5.8公里</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行政部、技术部、销售部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办公场所、仓库</w:t>
            </w:r>
          </w:p>
          <w:p>
            <w:pPr>
              <w:spacing w:line="260" w:lineRule="exact"/>
              <w:rPr>
                <w:rFonts w:ascii="宋体"/>
                <w:b/>
                <w:color w:val="000000"/>
                <w:sz w:val="20"/>
                <w:szCs w:val="20"/>
              </w:rPr>
            </w:pP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5</w:t>
            </w:r>
            <w:r>
              <w:rPr>
                <w:rFonts w:hint="eastAsia" w:ascii="宋体" w:hAnsi="宋体"/>
                <w:b/>
                <w:color w:val="000000"/>
                <w:sz w:val="20"/>
                <w:szCs w:val="20"/>
              </w:rPr>
              <w:t>月</w:t>
            </w:r>
            <w:r>
              <w:rPr>
                <w:rFonts w:hint="eastAsia" w:ascii="宋体" w:hAnsi="宋体"/>
                <w:b/>
                <w:color w:val="000000"/>
                <w:sz w:val="20"/>
                <w:szCs w:val="20"/>
                <w:lang w:val="en-US" w:eastAsia="zh-CN"/>
              </w:rPr>
              <w:t>11-12</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 w:val="21"/>
                <w:szCs w:val="21"/>
              </w:rPr>
              <w:t>本次内审在各部门的支持和配合下，内审组能够较系统地对公司进行检查，认为公司三体系运行基本良好，运行达到一定的效果，基本符合</w:t>
            </w:r>
            <w:r>
              <w:rPr>
                <w:rFonts w:hint="eastAsia" w:ascii="宋体" w:hAnsi="宋体"/>
                <w:sz w:val="21"/>
                <w:szCs w:val="21"/>
              </w:rPr>
              <w:t>ISO9</w:t>
            </w:r>
            <w:r>
              <w:rPr>
                <w:rFonts w:ascii="宋体" w:hAnsi="宋体"/>
                <w:sz w:val="21"/>
                <w:szCs w:val="21"/>
              </w:rPr>
              <w:t>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w:t>
            </w:r>
            <w:r>
              <w:rPr>
                <w:rFonts w:hint="eastAsia" w:ascii="宋体" w:hAnsi="宋体"/>
                <w:sz w:val="21"/>
                <w:szCs w:val="21"/>
              </w:rPr>
              <w:t>ISO1</w:t>
            </w:r>
            <w:r>
              <w:rPr>
                <w:rFonts w:ascii="宋体" w:hAnsi="宋体"/>
                <w:sz w:val="21"/>
                <w:szCs w:val="21"/>
              </w:rPr>
              <w:t>4001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；ISO45001:2018</w:t>
            </w:r>
            <w:r>
              <w:rPr>
                <w:rFonts w:hint="eastAsia" w:ascii="宋体" w:hAnsi="宋体"/>
                <w:sz w:val="21"/>
                <w:szCs w:val="21"/>
              </w:rPr>
              <w:t>标准的要求，</w:t>
            </w:r>
            <w:r>
              <w:rPr>
                <w:rFonts w:hint="eastAsia" w:ascii="宋体" w:hAnsi="宋体"/>
                <w:bCs/>
                <w:sz w:val="21"/>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w:t>
            </w:r>
            <w:r>
              <w:rPr>
                <w:rFonts w:ascii="宋体" w:hAnsi="宋体"/>
                <w:b/>
                <w:color w:val="000000"/>
                <w:sz w:val="20"/>
                <w:szCs w:val="20"/>
              </w:rPr>
              <w:t>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5</w:t>
            </w:r>
            <w:r>
              <w:rPr>
                <w:rFonts w:hint="eastAsia" w:ascii="宋体" w:hAnsi="宋体"/>
                <w:b/>
                <w:color w:val="000000"/>
                <w:sz w:val="20"/>
                <w:szCs w:val="20"/>
              </w:rPr>
              <w:t>月</w:t>
            </w:r>
            <w:r>
              <w:rPr>
                <w:rFonts w:hint="eastAsia" w:ascii="宋体" w:hAnsi="宋体"/>
                <w:b/>
                <w:color w:val="000000"/>
                <w:sz w:val="20"/>
                <w:szCs w:val="20"/>
                <w:lang w:val="en-US" w:eastAsia="zh-CN"/>
              </w:rPr>
              <w:t>21</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管理体系是适宜的、充分并有效运行，与公司的战略方向一致。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 w:val="20"/>
                <w:szCs w:val="20"/>
              </w:rPr>
            </w:pPr>
            <w:r>
              <w:rPr>
                <w:rFonts w:hint="eastAsia" w:ascii="宋体" w:hAnsi="宋体"/>
                <w:b/>
                <w:color w:val="000000"/>
                <w:sz w:val="20"/>
                <w:szCs w:val="20"/>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default"/>
          <w:sz w:val="22"/>
          <w:szCs w:val="22"/>
          <w:lang w:val="en-US"/>
        </w:rPr>
        <w:drawing>
          <wp:anchor distT="0" distB="0" distL="114300" distR="114300" simplePos="0" relativeHeight="251661312" behindDoc="0" locked="0" layoutInCell="1" allowOverlap="1">
            <wp:simplePos x="0" y="0"/>
            <wp:positionH relativeFrom="column">
              <wp:posOffset>2913380</wp:posOffset>
            </wp:positionH>
            <wp:positionV relativeFrom="paragraph">
              <wp:posOffset>27940</wp:posOffset>
            </wp:positionV>
            <wp:extent cx="1029335" cy="613410"/>
            <wp:effectExtent l="0" t="0" r="12065" b="8890"/>
            <wp:wrapNone/>
            <wp:docPr id="3" name="图片 3" descr="ab644c301840eb4a5adeb0b7fa53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644c301840eb4a5adeb0b7fa531d2"/>
                    <pic:cNvPicPr>
                      <a:picLocks noChangeAspect="1"/>
                    </pic:cNvPicPr>
                  </pic:nvPicPr>
                  <pic:blipFill>
                    <a:blip r:embed="rId6"/>
                    <a:stretch>
                      <a:fillRect/>
                    </a:stretch>
                  </pic:blipFill>
                  <pic:spPr>
                    <a:xfrm>
                      <a:off x="0" y="0"/>
                      <a:ext cx="1029335" cy="6134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1696720</wp:posOffset>
            </wp:positionH>
            <wp:positionV relativeFrom="paragraph">
              <wp:posOffset>173990</wp:posOffset>
            </wp:positionV>
            <wp:extent cx="946785" cy="549275"/>
            <wp:effectExtent l="0" t="0" r="5715" b="9525"/>
            <wp:wrapNone/>
            <wp:docPr id="6"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伍光华"/>
                    <pic:cNvPicPr>
                      <a:picLocks noChangeAspect="1"/>
                    </pic:cNvPicPr>
                  </pic:nvPicPr>
                  <pic:blipFill>
                    <a:blip r:embed="rId7"/>
                    <a:stretch>
                      <a:fillRect/>
                    </a:stretch>
                  </pic:blipFill>
                  <pic:spPr>
                    <a:xfrm>
                      <a:off x="0" y="0"/>
                      <a:ext cx="946785" cy="54927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default"/>
          <w:sz w:val="21"/>
          <w:szCs w:val="21"/>
          <w:lang w:val="en-US"/>
        </w:rPr>
        <w:drawing>
          <wp:anchor distT="0" distB="0" distL="114300" distR="114300" simplePos="0" relativeHeight="251662336" behindDoc="0" locked="0" layoutInCell="1" allowOverlap="1">
            <wp:simplePos x="0" y="0"/>
            <wp:positionH relativeFrom="column">
              <wp:posOffset>2673350</wp:posOffset>
            </wp:positionH>
            <wp:positionV relativeFrom="paragraph">
              <wp:posOffset>106680</wp:posOffset>
            </wp:positionV>
            <wp:extent cx="921385" cy="530225"/>
            <wp:effectExtent l="0" t="0" r="5715" b="3175"/>
            <wp:wrapNone/>
            <wp:docPr id="4" name="图片 4" descr="c7cb02d0cd116b2b2dcf73e9b2dc5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7cb02d0cd116b2b2dcf73e9b2dc57c"/>
                    <pic:cNvPicPr>
                      <a:picLocks noChangeAspect="1"/>
                    </pic:cNvPicPr>
                  </pic:nvPicPr>
                  <pic:blipFill>
                    <a:blip r:embed="rId8"/>
                    <a:stretch>
                      <a:fillRect/>
                    </a:stretch>
                  </pic:blipFill>
                  <pic:spPr>
                    <a:xfrm>
                      <a:off x="0" y="0"/>
                      <a:ext cx="921385" cy="530225"/>
                    </a:xfrm>
                    <a:prstGeom prst="rect">
                      <a:avLst/>
                    </a:prstGeom>
                  </pic:spPr>
                </pic:pic>
              </a:graphicData>
            </a:graphic>
          </wp:anchor>
        </w:drawing>
      </w: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1741170</wp:posOffset>
            </wp:positionH>
            <wp:positionV relativeFrom="paragraph">
              <wp:posOffset>112395</wp:posOffset>
            </wp:positionV>
            <wp:extent cx="876300" cy="466725"/>
            <wp:effectExtent l="0" t="0" r="0" b="3175"/>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9"/>
                    <a:stretch>
                      <a:fillRect/>
                    </a:stretch>
                  </pic:blipFill>
                  <pic:spPr>
                    <a:xfrm>
                      <a:off x="0" y="0"/>
                      <a:ext cx="876300" cy="4667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jc w:val="both"/>
        <w:rPr>
          <w:rFonts w:hint="eastAsia"/>
          <w:b w:val="0"/>
          <w:bCs/>
          <w:spacing w:val="20"/>
          <w:sz w:val="24"/>
          <w:szCs w:val="24"/>
        </w:rPr>
      </w:pPr>
      <w:r>
        <w:rPr>
          <w:rFonts w:hint="eastAsia" w:eastAsia="隶书"/>
          <w:color w:val="000000"/>
          <w:sz w:val="28"/>
          <w:szCs w:val="28"/>
        </w:rPr>
        <w:t>受审核方：</w:t>
      </w:r>
      <w:r>
        <w:rPr>
          <w:rFonts w:hint="eastAsia" w:ascii="宋体" w:hAnsi="宋体"/>
          <w:b w:val="0"/>
          <w:bCs/>
          <w:sz w:val="24"/>
          <w:szCs w:val="24"/>
        </w:rPr>
        <w:t>江西</w:t>
      </w:r>
      <w:r>
        <w:rPr>
          <w:rFonts w:hint="eastAsia" w:ascii="宋体" w:hAnsi="宋体"/>
          <w:b w:val="0"/>
          <w:bCs/>
          <w:sz w:val="24"/>
          <w:szCs w:val="24"/>
          <w:lang w:eastAsia="zh-CN"/>
        </w:rPr>
        <w:t>畅然</w:t>
      </w:r>
      <w:r>
        <w:rPr>
          <w:rFonts w:hint="eastAsia" w:ascii="宋体" w:hAnsi="宋体"/>
          <w:b w:val="0"/>
          <w:bCs/>
          <w:sz w:val="24"/>
          <w:szCs w:val="24"/>
        </w:rPr>
        <w:t>科技</w:t>
      </w:r>
      <w:r>
        <w:rPr>
          <w:rFonts w:hint="eastAsia" w:ascii="宋体" w:hAnsi="宋体"/>
          <w:b w:val="0"/>
          <w:bCs/>
          <w:sz w:val="24"/>
          <w:szCs w:val="24"/>
          <w:lang w:eastAsia="zh-CN"/>
        </w:rPr>
        <w:t>发展</w:t>
      </w:r>
      <w:r>
        <w:rPr>
          <w:rFonts w:hint="eastAsia" w:ascii="宋体" w:hAnsi="宋体"/>
          <w:b w:val="0"/>
          <w:bCs/>
          <w:sz w:val="24"/>
          <w:szCs w:val="24"/>
        </w:rPr>
        <w:t>有限公司</w:t>
      </w:r>
    </w:p>
    <w:p>
      <w:pPr>
        <w:pStyle w:val="5"/>
        <w:pBdr>
          <w:bottom w:val="none" w:color="auto" w:sz="0" w:space="0"/>
        </w:pBdr>
        <w:ind w:right="600"/>
        <w:jc w:val="both"/>
        <w:rPr>
          <w:rFonts w:eastAsia="隶书"/>
          <w:color w:val="000000"/>
          <w:sz w:val="28"/>
          <w:szCs w:val="28"/>
        </w:rPr>
      </w:pP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CD7620"/>
    <w:rsid w:val="399A6DF0"/>
    <w:rsid w:val="4D1A3F36"/>
    <w:rsid w:val="76C91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2020-06-15T14:07:29Z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