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269"/>
        <w:gridCol w:w="1094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56" w:type="dxa"/>
            <w:vMerge w:val="restart"/>
            <w:vAlign w:val="center"/>
          </w:tcPr>
          <w:p>
            <w:pPr>
              <w:spacing w:before="12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1269"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947" w:type="dxa"/>
            <w:vAlign w:val="center"/>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受审核部门：</w:t>
            </w:r>
            <w:r>
              <w:rPr>
                <w:rFonts w:hint="eastAsia" w:ascii="宋体" w:hAnsi="宋体"/>
                <w:color w:val="auto"/>
                <w:sz w:val="18"/>
                <w:szCs w:val="22"/>
              </w:rPr>
              <w:t>项目部</w:t>
            </w:r>
            <w:r>
              <w:rPr>
                <w:rFonts w:hint="eastAsia" w:asciiTheme="minorEastAsia" w:hAnsiTheme="minorEastAsia" w:eastAsiaTheme="minorEastAsia" w:cstheme="minorEastAsia"/>
                <w:color w:val="auto"/>
                <w:szCs w:val="21"/>
              </w:rPr>
              <w:t xml:space="preserve">       主管领导：</w:t>
            </w:r>
            <w:r>
              <w:rPr>
                <w:rFonts w:hint="eastAsia"/>
                <w:color w:val="auto"/>
                <w:kern w:val="0"/>
                <w:sz w:val="22"/>
                <w:lang w:eastAsia="zh-CN"/>
              </w:rPr>
              <w:t>王上劲</w:t>
            </w:r>
            <w:r>
              <w:rPr>
                <w:rFonts w:hint="eastAsia" w:asciiTheme="minorEastAsia" w:hAnsiTheme="minorEastAsia" w:eastAsiaTheme="minorEastAsia" w:cstheme="minorEastAsia"/>
                <w:color w:val="auto"/>
                <w:szCs w:val="21"/>
              </w:rPr>
              <w:t xml:space="preserve">   陪同人员：</w:t>
            </w:r>
            <w:r>
              <w:rPr>
                <w:rFonts w:hint="eastAsia"/>
                <w:color w:val="auto"/>
                <w:kern w:val="0"/>
                <w:sz w:val="22"/>
                <w:lang w:eastAsia="zh-CN"/>
              </w:rPr>
              <w:t>安杰</w:t>
            </w:r>
          </w:p>
        </w:tc>
        <w:tc>
          <w:tcPr>
            <w:tcW w:w="837"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6" w:type="dxa"/>
            <w:vMerge w:val="continue"/>
            <w:vAlign w:val="center"/>
          </w:tcPr>
          <w:p>
            <w:pPr>
              <w:rPr>
                <w:rFonts w:asciiTheme="minorEastAsia" w:hAnsiTheme="minorEastAsia" w:eastAsiaTheme="minorEastAsia" w:cstheme="minorEastAsia"/>
                <w:szCs w:val="21"/>
              </w:rPr>
            </w:pPr>
          </w:p>
        </w:tc>
        <w:tc>
          <w:tcPr>
            <w:tcW w:w="1269" w:type="dxa"/>
            <w:vMerge w:val="continue"/>
            <w:vAlign w:val="center"/>
          </w:tcPr>
          <w:p>
            <w:pPr>
              <w:rPr>
                <w:rFonts w:asciiTheme="minorEastAsia" w:hAnsiTheme="minorEastAsia" w:eastAsiaTheme="minorEastAsia" w:cstheme="minorEastAsia"/>
                <w:szCs w:val="21"/>
              </w:rPr>
            </w:pPr>
          </w:p>
        </w:tc>
        <w:tc>
          <w:tcPr>
            <w:tcW w:w="10947" w:type="dxa"/>
            <w:vAlign w:val="center"/>
          </w:tcPr>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审核员：</w:t>
            </w:r>
            <w:r>
              <w:rPr>
                <w:rFonts w:hint="eastAsia"/>
                <w:color w:val="auto"/>
                <w:sz w:val="18"/>
                <w:szCs w:val="18"/>
              </w:rPr>
              <w:t>李京田</w:t>
            </w:r>
            <w:r>
              <w:rPr>
                <w:rFonts w:hint="eastAsia" w:asciiTheme="minorEastAsia" w:hAnsiTheme="minorEastAsia" w:eastAsiaTheme="minorEastAsia" w:cstheme="minorEastAsia"/>
                <w:color w:val="auto"/>
                <w:szCs w:val="21"/>
              </w:rPr>
              <w:t xml:space="preserve">         审核时间：2020年</w:t>
            </w:r>
            <w:r>
              <w:rPr>
                <w:rFonts w:hint="eastAsia" w:asciiTheme="minorEastAsia" w:hAnsiTheme="minorEastAsia" w:eastAsiaTheme="minorEastAsia" w:cstheme="minorEastAsia"/>
                <w:color w:val="auto"/>
                <w:szCs w:val="21"/>
                <w:lang w:val="en-US" w:eastAsia="zh-CN"/>
              </w:rPr>
              <w:t>6</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22</w:t>
            </w:r>
            <w:r>
              <w:rPr>
                <w:rFonts w:hint="eastAsia" w:asciiTheme="minorEastAsia" w:hAnsiTheme="minorEastAsia" w:eastAsiaTheme="minorEastAsia" w:cstheme="minorEastAsia"/>
                <w:color w:val="auto"/>
                <w:szCs w:val="21"/>
              </w:rPr>
              <w:t>日</w:t>
            </w:r>
          </w:p>
        </w:tc>
        <w:tc>
          <w:tcPr>
            <w:tcW w:w="837"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56" w:type="dxa"/>
            <w:vMerge w:val="continue"/>
            <w:vAlign w:val="center"/>
          </w:tcPr>
          <w:p>
            <w:pPr>
              <w:rPr>
                <w:rFonts w:asciiTheme="minorEastAsia" w:hAnsiTheme="minorEastAsia" w:eastAsiaTheme="minorEastAsia" w:cstheme="minorEastAsia"/>
                <w:szCs w:val="21"/>
              </w:rPr>
            </w:pPr>
          </w:p>
        </w:tc>
        <w:tc>
          <w:tcPr>
            <w:tcW w:w="1269" w:type="dxa"/>
            <w:vMerge w:val="continue"/>
            <w:vAlign w:val="center"/>
          </w:tcPr>
          <w:p>
            <w:pPr>
              <w:rPr>
                <w:rFonts w:asciiTheme="minorEastAsia" w:hAnsiTheme="minorEastAsia" w:eastAsiaTheme="minorEastAsia" w:cstheme="minorEastAsia"/>
                <w:szCs w:val="21"/>
              </w:rPr>
            </w:pPr>
          </w:p>
        </w:tc>
        <w:tc>
          <w:tcPr>
            <w:tcW w:w="10947" w:type="dxa"/>
            <w:vAlign w:val="center"/>
          </w:tcPr>
          <w:p>
            <w:pPr>
              <w:snapToGrid w:val="0"/>
              <w:spacing w:line="260" w:lineRule="exact"/>
              <w:rPr>
                <w:rFonts w:ascii="宋体" w:hAnsi="宋体" w:cs="宋体"/>
                <w:b/>
                <w:bCs/>
                <w:szCs w:val="21"/>
              </w:rPr>
            </w:pPr>
            <w:r>
              <w:rPr>
                <w:rFonts w:hint="eastAsia"/>
              </w:rPr>
              <w:t>审核条款</w:t>
            </w:r>
            <w:r>
              <w:rPr>
                <w:rFonts w:hint="eastAsia" w:ascii="宋体" w:hAnsi="宋体"/>
                <w:sz w:val="18"/>
              </w:rPr>
              <w:t>S</w:t>
            </w:r>
            <w:r>
              <w:rPr>
                <w:rFonts w:ascii="宋体" w:hAnsi="宋体"/>
                <w:sz w:val="18"/>
              </w:rPr>
              <w:t>:5.3/6.1.2</w:t>
            </w:r>
            <w:r>
              <w:rPr>
                <w:rFonts w:hint="eastAsia" w:ascii="宋体" w:hAnsi="宋体"/>
                <w:sz w:val="18"/>
              </w:rPr>
              <w:t>/6.2/</w:t>
            </w:r>
            <w:r>
              <w:rPr>
                <w:rFonts w:ascii="宋体" w:hAnsi="宋体"/>
                <w:sz w:val="18"/>
              </w:rPr>
              <w:t>8.1/8.</w:t>
            </w:r>
            <w:r>
              <w:rPr>
                <w:rFonts w:hint="eastAsia" w:ascii="宋体" w:hAnsi="宋体"/>
                <w:sz w:val="18"/>
                <w:lang w:val="en-US" w:eastAsia="zh-CN"/>
              </w:rPr>
              <w:t>2</w:t>
            </w:r>
          </w:p>
        </w:tc>
        <w:tc>
          <w:tcPr>
            <w:tcW w:w="837"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组织的岗位职责和权限</w:t>
            </w:r>
          </w:p>
          <w:p>
            <w:pPr>
              <w:spacing w:line="280" w:lineRule="exact"/>
              <w:rPr>
                <w:rFonts w:asciiTheme="minorEastAsia" w:hAnsiTheme="minorEastAsia" w:eastAsiaTheme="minorEastAsia" w:cstheme="minorEastAsia"/>
                <w:szCs w:val="21"/>
              </w:rPr>
            </w:pP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5.3</w:t>
            </w:r>
          </w:p>
          <w:p>
            <w:pPr>
              <w:spacing w:line="280" w:lineRule="exact"/>
              <w:rPr>
                <w:rFonts w:asciiTheme="minorEastAsia" w:hAnsiTheme="minorEastAsia" w:eastAsiaTheme="minorEastAsia" w:cstheme="minorEastAsia"/>
                <w:szCs w:val="21"/>
              </w:rPr>
            </w:pPr>
          </w:p>
        </w:tc>
        <w:tc>
          <w:tcPr>
            <w:tcW w:w="10947" w:type="dxa"/>
          </w:tcPr>
          <w:p>
            <w:pPr>
              <w:ind w:firstLine="210" w:firstLineChars="100"/>
              <w:rPr>
                <w:rFonts w:ascii="宋体" w:hAnsi="宋体" w:cs="宋体"/>
                <w:szCs w:val="21"/>
              </w:rPr>
            </w:pPr>
            <w:r>
              <w:rPr>
                <w:rFonts w:hint="eastAsia" w:ascii="宋体" w:hAnsi="宋体" w:cs="宋体"/>
                <w:szCs w:val="21"/>
              </w:rPr>
              <w:t>负责公司</w:t>
            </w:r>
            <w:r>
              <w:rPr>
                <w:rFonts w:hint="eastAsia" w:ascii="宋体" w:hAnsi="宋体"/>
                <w:szCs w:val="21"/>
              </w:rPr>
              <w:t>园林绿化服务</w:t>
            </w:r>
            <w:r>
              <w:rPr>
                <w:rFonts w:hint="eastAsia" w:ascii="宋体" w:hAnsi="宋体"/>
                <w:szCs w:val="21"/>
                <w:lang w:val="en-US" w:eastAsia="zh-CN"/>
              </w:rPr>
              <w:t>及草毯</w:t>
            </w:r>
            <w:r>
              <w:rPr>
                <w:rFonts w:hint="eastAsia" w:ascii="宋体" w:hAnsi="宋体"/>
                <w:szCs w:val="21"/>
              </w:rPr>
              <w:t>销售</w:t>
            </w:r>
            <w:r>
              <w:rPr>
                <w:rFonts w:hint="eastAsia" w:ascii="宋体" w:hAnsi="宋体" w:cs="宋体"/>
                <w:szCs w:val="21"/>
              </w:rPr>
              <w:t>的实施和管理、负责</w:t>
            </w:r>
            <w:r>
              <w:rPr>
                <w:rFonts w:hint="eastAsia" w:ascii="宋体" w:hAnsi="宋体"/>
                <w:szCs w:val="21"/>
              </w:rPr>
              <w:t>园林绿化服务的销售</w:t>
            </w:r>
            <w:r>
              <w:rPr>
                <w:rFonts w:hint="eastAsia" w:ascii="宋体" w:hAnsi="宋体" w:cs="宋体"/>
                <w:szCs w:val="21"/>
              </w:rPr>
              <w:t>方案等技术文件的编制、修订</w:t>
            </w:r>
          </w:p>
          <w:p>
            <w:pPr>
              <w:ind w:firstLine="420" w:firstLineChars="200"/>
              <w:rPr>
                <w:rFonts w:ascii="宋体" w:hAnsi="宋体" w:cs="宋体"/>
                <w:szCs w:val="21"/>
              </w:rPr>
            </w:pPr>
            <w:r>
              <w:rPr>
                <w:rFonts w:hint="eastAsia" w:ascii="宋体" w:hAnsi="宋体" w:cs="宋体"/>
                <w:szCs w:val="21"/>
              </w:rPr>
              <w:t>负责</w:t>
            </w:r>
            <w:r>
              <w:rPr>
                <w:rFonts w:hint="eastAsia" w:ascii="宋体" w:hAnsi="宋体"/>
                <w:szCs w:val="21"/>
              </w:rPr>
              <w:t>园林绿化服务的销售</w:t>
            </w:r>
            <w:r>
              <w:rPr>
                <w:rFonts w:hint="eastAsia" w:ascii="宋体" w:hAnsi="宋体" w:cs="宋体"/>
                <w:szCs w:val="21"/>
              </w:rPr>
              <w:t>项目进度和工作质量的把控、负责销售反馈问题的汇总、跟踪及解决</w:t>
            </w:r>
          </w:p>
          <w:p>
            <w:pPr>
              <w:ind w:firstLine="420" w:firstLineChars="200"/>
              <w:rPr>
                <w:rFonts w:ascii="宋体" w:hAnsi="宋体" w:cs="宋体"/>
                <w:szCs w:val="21"/>
              </w:rPr>
            </w:pPr>
            <w:r>
              <w:rPr>
                <w:rFonts w:hint="eastAsia" w:ascii="宋体" w:hAnsi="宋体" w:cs="宋体"/>
                <w:szCs w:val="21"/>
              </w:rPr>
              <w:t>负责客户关系协调及客户人员培训、根据相关政策法规的规定，负责对相关</w:t>
            </w:r>
            <w:r>
              <w:rPr>
                <w:rFonts w:hint="eastAsia" w:ascii="宋体" w:hAnsi="宋体"/>
                <w:szCs w:val="21"/>
              </w:rPr>
              <w:t>园林绿化服务</w:t>
            </w:r>
            <w:r>
              <w:rPr>
                <w:rFonts w:hint="eastAsia" w:ascii="宋体" w:hAnsi="宋体" w:cs="宋体"/>
                <w:szCs w:val="21"/>
              </w:rPr>
              <w:t>文件进行调整和完善、.完成领导交办的其他任务</w:t>
            </w:r>
          </w:p>
          <w:p>
            <w:pPr>
              <w:ind w:firstLine="420" w:firstLineChars="200"/>
              <w:rPr>
                <w:rFonts w:ascii="宋体" w:hAnsi="宋体" w:cs="宋体"/>
                <w:szCs w:val="21"/>
              </w:rPr>
            </w:pPr>
            <w:r>
              <w:rPr>
                <w:rFonts w:hint="eastAsia" w:ascii="宋体" w:hAnsi="宋体" w:cs="宋体"/>
                <w:szCs w:val="21"/>
              </w:rPr>
              <w:t>职业健康安全体系运行过程；</w:t>
            </w:r>
          </w:p>
          <w:p>
            <w:pPr>
              <w:ind w:firstLine="420" w:firstLineChars="200"/>
              <w:rPr>
                <w:rFonts w:ascii="宋体" w:hAnsi="宋体" w:cs="宋体"/>
                <w:szCs w:val="21"/>
              </w:rPr>
            </w:pPr>
            <w:r>
              <w:rPr>
                <w:rFonts w:hint="eastAsia" w:ascii="宋体" w:hAnsi="宋体" w:cs="宋体"/>
                <w:szCs w:val="21"/>
              </w:rPr>
              <w:t>危险源的识别和评价及管理控制</w:t>
            </w:r>
          </w:p>
          <w:p>
            <w:pPr>
              <w:spacing w:line="280" w:lineRule="exact"/>
              <w:ind w:firstLine="420"/>
              <w:rPr>
                <w:rFonts w:asciiTheme="minorEastAsia" w:hAnsiTheme="minorEastAsia" w:eastAsiaTheme="minorEastAsia" w:cstheme="minorEastAsia"/>
                <w:szCs w:val="21"/>
              </w:rPr>
            </w:pPr>
            <w:r>
              <w:rPr>
                <w:rFonts w:hint="eastAsia" w:ascii="宋体" w:hAnsi="宋体" w:cs="宋体"/>
                <w:szCs w:val="21"/>
              </w:rPr>
              <w:t>内外部信息交流过程；</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目标及其实现的策划总要求</w:t>
            </w:r>
          </w:p>
        </w:tc>
        <w:tc>
          <w:tcPr>
            <w:tcW w:w="1269" w:type="dxa"/>
          </w:tcPr>
          <w:p>
            <w:pPr>
              <w:spacing w:line="280" w:lineRule="exact"/>
            </w:pP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6.2</w:t>
            </w:r>
          </w:p>
          <w:p>
            <w:pPr>
              <w:spacing w:line="280" w:lineRule="exact"/>
              <w:rPr>
                <w:rFonts w:asciiTheme="minorEastAsia" w:hAnsiTheme="minorEastAsia" w:eastAsiaTheme="minorEastAsia" w:cstheme="minorEastAsia"/>
                <w:szCs w:val="21"/>
              </w:rPr>
            </w:pPr>
          </w:p>
        </w:tc>
        <w:tc>
          <w:tcPr>
            <w:tcW w:w="10947" w:type="dxa"/>
          </w:tcPr>
          <w:p>
            <w:pPr>
              <w:ind w:firstLine="420" w:firstLineChars="200"/>
              <w:rPr>
                <w:rFonts w:hint="eastAsia" w:asciiTheme="minorEastAsia" w:hAnsiTheme="minorEastAsia" w:eastAsiaTheme="minorEastAsia" w:cstheme="minorEastAsia"/>
                <w:szCs w:val="21"/>
              </w:rPr>
            </w:pP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管理目标有：                               </w:t>
            </w: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1-3</w:t>
            </w:r>
            <w:r>
              <w:rPr>
                <w:rFonts w:hint="eastAsia" w:ascii="宋体" w:hAnsi="宋体" w:cs="宋体"/>
                <w:szCs w:val="21"/>
              </w:rPr>
              <w:t>月考核统计</w:t>
            </w:r>
            <w:r>
              <w:rPr>
                <w:rFonts w:hint="eastAsia" w:asciiTheme="minorEastAsia" w:hAnsiTheme="minorEastAsia" w:eastAsiaTheme="minorEastAsia" w:cstheme="minorEastAsia"/>
                <w:szCs w:val="21"/>
              </w:rPr>
              <w:t xml:space="preserve">                             </w:t>
            </w:r>
          </w:p>
          <w:p>
            <w:pPr>
              <w:ind w:left="210" w:leftChars="100" w:firstLine="210" w:firstLineChars="100"/>
              <w:rPr>
                <w:rFonts w:hint="eastAsia" w:ascii="宋体" w:hAnsi="宋体" w:cs="宋体"/>
                <w:szCs w:val="21"/>
              </w:rPr>
            </w:pPr>
            <w:r>
              <w:rPr>
                <w:rFonts w:hint="eastAsia" w:ascii="宋体" w:hAnsi="宋体" w:cs="宋体"/>
                <w:szCs w:val="21"/>
                <w:lang w:val="en-US" w:eastAsia="zh-CN"/>
              </w:rPr>
              <w:t>固废100%分类处置</w:t>
            </w:r>
            <w:r>
              <w:rPr>
                <w:rFonts w:hint="eastAsia" w:ascii="宋体" w:hAnsi="宋体" w:cs="宋体"/>
                <w:szCs w:val="21"/>
              </w:rPr>
              <w:t xml:space="preserve">                              100%   </w:t>
            </w:r>
          </w:p>
          <w:p>
            <w:pPr>
              <w:ind w:left="210" w:leftChars="100" w:firstLine="210" w:firstLineChars="100"/>
              <w:rPr>
                <w:rFonts w:hint="eastAsia" w:ascii="宋体" w:hAnsi="宋体" w:cs="宋体"/>
                <w:szCs w:val="21"/>
              </w:rPr>
            </w:pPr>
            <w:r>
              <w:rPr>
                <w:rFonts w:hint="eastAsia" w:ascii="宋体" w:hAnsi="宋体" w:cs="宋体"/>
                <w:szCs w:val="21"/>
              </w:rPr>
              <w:t xml:space="preserve">重大以上事故发生率0                            </w:t>
            </w:r>
            <w:r>
              <w:rPr>
                <w:rFonts w:hint="eastAsia" w:ascii="宋体" w:hAnsi="宋体" w:cs="宋体"/>
                <w:szCs w:val="21"/>
                <w:lang w:val="en-US" w:eastAsia="zh-CN"/>
              </w:rPr>
              <w:t>0</w:t>
            </w:r>
            <w:r>
              <w:rPr>
                <w:rFonts w:hint="eastAsia" w:ascii="宋体" w:hAnsi="宋体" w:cs="宋体"/>
                <w:szCs w:val="21"/>
              </w:rPr>
              <w:t xml:space="preserve">        </w:t>
            </w:r>
          </w:p>
          <w:p>
            <w:pPr>
              <w:ind w:left="210" w:leftChars="100" w:firstLine="210" w:firstLineChars="100"/>
              <w:rPr>
                <w:rFonts w:hint="eastAsia" w:ascii="宋体" w:hAnsi="宋体" w:cs="宋体"/>
                <w:szCs w:val="21"/>
              </w:rPr>
            </w:pPr>
            <w:r>
              <w:rPr>
                <w:rFonts w:hint="eastAsia" w:ascii="宋体" w:hAnsi="宋体" w:cs="宋体"/>
                <w:szCs w:val="21"/>
              </w:rPr>
              <w:t xml:space="preserve">火灾事故为0                             </w:t>
            </w:r>
            <w:r>
              <w:rPr>
                <w:rFonts w:hint="eastAsia" w:ascii="宋体" w:hAnsi="宋体" w:cs="宋体"/>
                <w:szCs w:val="21"/>
                <w:lang w:val="en-US" w:eastAsia="zh-CN"/>
              </w:rPr>
              <w:t xml:space="preserve">     </w:t>
            </w:r>
            <w:r>
              <w:rPr>
                <w:rFonts w:hint="eastAsia" w:ascii="宋体" w:hAnsi="宋体" w:cs="宋体"/>
                <w:szCs w:val="21"/>
              </w:rPr>
              <w:t xml:space="preserve"> 0</w:t>
            </w:r>
          </w:p>
          <w:p>
            <w:pPr>
              <w:ind w:left="210" w:leftChars="100" w:firstLine="210" w:firstLineChars="100"/>
              <w:rPr>
                <w:rFonts w:hint="eastAsia" w:ascii="宋体" w:hAnsi="宋体" w:cs="宋体"/>
                <w:szCs w:val="21"/>
              </w:rPr>
            </w:pPr>
            <w:r>
              <w:rPr>
                <w:rFonts w:hint="eastAsia" w:ascii="宋体" w:hAnsi="宋体" w:cs="宋体"/>
                <w:szCs w:val="21"/>
              </w:rPr>
              <w:t>环境污染事故发生率为0</w:t>
            </w:r>
            <w:r>
              <w:rPr>
                <w:rFonts w:hint="eastAsia" w:ascii="宋体" w:hAnsi="宋体" w:cs="宋体"/>
                <w:szCs w:val="21"/>
                <w:lang w:val="en-US" w:eastAsia="zh-CN"/>
              </w:rPr>
              <w:t xml:space="preserve">                         0</w:t>
            </w:r>
            <w:r>
              <w:rPr>
                <w:rFonts w:hint="eastAsia" w:ascii="宋体" w:hAnsi="宋体" w:cs="宋体"/>
                <w:szCs w:val="21"/>
              </w:rPr>
              <w:t xml:space="preserve">                                   </w:t>
            </w:r>
          </w:p>
          <w:p>
            <w:pPr>
              <w:ind w:left="210" w:leftChars="100" w:firstLine="210" w:firstLineChars="100"/>
              <w:rPr>
                <w:rFonts w:hint="eastAsia" w:ascii="宋体" w:hAnsi="宋体" w:cs="宋体"/>
                <w:szCs w:val="21"/>
              </w:rPr>
            </w:pPr>
            <w:r>
              <w:rPr>
                <w:rFonts w:hint="eastAsia" w:ascii="宋体" w:hAnsi="宋体" w:cs="宋体"/>
                <w:szCs w:val="21"/>
              </w:rPr>
              <w:t>目标可测量，与公司方针一致。</w:t>
            </w:r>
          </w:p>
          <w:p>
            <w:pPr>
              <w:ind w:left="210" w:leftChars="100" w:firstLine="210" w:firstLineChars="100"/>
              <w:rPr>
                <w:rFonts w:ascii="宋体" w:hAnsi="宋体" w:cs="宋体"/>
                <w:szCs w:val="21"/>
              </w:rPr>
            </w:pPr>
            <w:r>
              <w:rPr>
                <w:rFonts w:hint="eastAsia" w:ascii="宋体" w:hAnsi="宋体" w:cs="宋体"/>
                <w:szCs w:val="21"/>
              </w:rPr>
              <w:t>职业健康安全体系建立了管理方案，查管理方案表：</w:t>
            </w:r>
          </w:p>
          <w:p>
            <w:pPr>
              <w:ind w:left="210" w:leftChars="100" w:firstLine="210" w:firstLineChars="100"/>
              <w:rPr>
                <w:rFonts w:ascii="宋体" w:hAnsi="宋体" w:cs="宋体"/>
                <w:szCs w:val="21"/>
              </w:rPr>
            </w:pPr>
            <w:r>
              <w:rPr>
                <w:rFonts w:hint="eastAsia" w:ascii="宋体" w:hAnsi="宋体" w:cs="宋体"/>
                <w:szCs w:val="21"/>
              </w:rPr>
              <w:t xml:space="preserve"> 1、办公用硒鼓、墨盒等固废等原材料废弃物等分类收集保管，交由相应部门处置；</w:t>
            </w:r>
          </w:p>
          <w:p>
            <w:pPr>
              <w:ind w:firstLine="420" w:firstLineChars="200"/>
              <w:rPr>
                <w:rFonts w:ascii="宋体" w:hAnsi="宋体" w:cs="宋体"/>
                <w:szCs w:val="21"/>
              </w:rPr>
            </w:pPr>
            <w:r>
              <w:rPr>
                <w:rFonts w:hint="eastAsia" w:ascii="宋体" w:hAnsi="宋体" w:cs="宋体"/>
                <w:szCs w:val="21"/>
              </w:rPr>
              <w:t>2、杜绝火灾发生，制定了管理方案并严格执行，配备必要的防火设施（包括灭火器</w:t>
            </w:r>
            <w:r>
              <w:rPr>
                <w:rFonts w:ascii="宋体" w:hAnsi="宋体" w:cs="宋体"/>
                <w:szCs w:val="21"/>
              </w:rPr>
              <w:t>a</w:t>
            </w:r>
            <w:r>
              <w:rPr>
                <w:rFonts w:hint="eastAsia" w:ascii="宋体" w:hAnsi="宋体" w:cs="宋体"/>
                <w:szCs w:val="21"/>
              </w:rPr>
              <w:t>、消防栓等）并保证其完好</w:t>
            </w:r>
          </w:p>
          <w:p>
            <w:pPr>
              <w:ind w:firstLine="420" w:firstLineChars="200"/>
              <w:rPr>
                <w:rFonts w:ascii="宋体" w:hAnsi="宋体" w:cs="宋体"/>
                <w:szCs w:val="21"/>
              </w:rPr>
            </w:pPr>
            <w:r>
              <w:rPr>
                <w:rFonts w:ascii="宋体" w:hAnsi="宋体" w:cs="宋体"/>
                <w:szCs w:val="21"/>
              </w:rPr>
              <w:t>b</w:t>
            </w:r>
            <w:r>
              <w:rPr>
                <w:rFonts w:hint="eastAsia" w:ascii="宋体" w:hAnsi="宋体" w:cs="宋体"/>
                <w:szCs w:val="21"/>
              </w:rPr>
              <w:t>. 成立应急响应工作小组（见《应急预案》）</w:t>
            </w:r>
          </w:p>
          <w:p>
            <w:pPr>
              <w:ind w:firstLine="420" w:firstLineChars="200"/>
              <w:rPr>
                <w:rFonts w:ascii="宋体" w:hAnsi="宋体"/>
                <w:szCs w:val="21"/>
              </w:rPr>
            </w:pPr>
            <w:r>
              <w:rPr>
                <w:rFonts w:ascii="宋体" w:hAnsi="宋体" w:cs="宋体"/>
                <w:szCs w:val="21"/>
              </w:rPr>
              <w:t>c</w:t>
            </w:r>
            <w:r>
              <w:rPr>
                <w:rFonts w:hint="eastAsia" w:ascii="宋体" w:hAnsi="宋体" w:cs="宋体"/>
                <w:szCs w:val="21"/>
              </w:rPr>
              <w:t>. 淘汰过期、报废设备,对灭火器更新；每年进行一次消防演习。执行部门：各部门，检查人</w:t>
            </w:r>
            <w:r>
              <w:rPr>
                <w:rFonts w:hint="eastAsia" w:ascii="宋体" w:hAnsi="宋体" w:cs="宋体"/>
                <w:color w:val="auto"/>
                <w:szCs w:val="21"/>
              </w:rPr>
              <w:t>：</w:t>
            </w:r>
            <w:r>
              <w:rPr>
                <w:rFonts w:hint="eastAsia"/>
                <w:color w:val="auto"/>
                <w:kern w:val="0"/>
                <w:sz w:val="22"/>
                <w:lang w:eastAsia="zh-CN"/>
              </w:rPr>
              <w:t>李蔚彧</w:t>
            </w:r>
            <w:r>
              <w:rPr>
                <w:rFonts w:hint="eastAsia" w:ascii="宋体" w:hAnsi="宋体" w:cs="宋体"/>
                <w:color w:val="auto"/>
                <w:szCs w:val="21"/>
              </w:rPr>
              <w:t>，责</w:t>
            </w:r>
            <w:r>
              <w:rPr>
                <w:rFonts w:hint="eastAsia" w:ascii="宋体" w:hAnsi="宋体" w:cs="宋体"/>
                <w:szCs w:val="21"/>
              </w:rPr>
              <w:t>任部门：</w:t>
            </w:r>
            <w:r>
              <w:rPr>
                <w:rFonts w:hint="eastAsia" w:ascii="宋体" w:hAnsi="宋体"/>
                <w:szCs w:val="21"/>
              </w:rPr>
              <w:t>办公室</w:t>
            </w:r>
            <w:r>
              <w:rPr>
                <w:rFonts w:hint="eastAsia" w:ascii="宋体" w:hAnsi="宋体" w:cs="宋体"/>
                <w:szCs w:val="21"/>
              </w:rPr>
              <w:t>，执行日期：</w:t>
            </w:r>
            <w:r>
              <w:rPr>
                <w:rFonts w:hint="eastAsia" w:ascii="宋体" w:hAnsi="宋体"/>
                <w:szCs w:val="21"/>
              </w:rPr>
              <w:t>2019年</w:t>
            </w:r>
            <w:r>
              <w:rPr>
                <w:rFonts w:hint="eastAsia" w:ascii="宋体" w:hAnsi="宋体"/>
                <w:szCs w:val="21"/>
                <w:lang w:val="en-US" w:eastAsia="zh-CN"/>
              </w:rPr>
              <w:t>9</w:t>
            </w:r>
            <w:r>
              <w:rPr>
                <w:rFonts w:hint="eastAsia" w:ascii="宋体" w:hAnsi="宋体"/>
                <w:szCs w:val="21"/>
              </w:rPr>
              <w:t>月-20</w:t>
            </w:r>
            <w:r>
              <w:rPr>
                <w:rFonts w:ascii="宋体" w:hAnsi="宋体"/>
                <w:szCs w:val="21"/>
              </w:rPr>
              <w:t>20</w:t>
            </w:r>
            <w:r>
              <w:rPr>
                <w:rFonts w:hint="eastAsia" w:ascii="宋体" w:hAnsi="宋体"/>
                <w:szCs w:val="21"/>
              </w:rPr>
              <w:t>年12月</w:t>
            </w:r>
          </w:p>
          <w:p>
            <w:pPr>
              <w:ind w:firstLine="420" w:firstLineChars="200"/>
              <w:rPr>
                <w:rFonts w:ascii="宋体" w:hAnsi="宋体"/>
                <w:szCs w:val="21"/>
              </w:rPr>
            </w:pPr>
            <w:r>
              <w:rPr>
                <w:rFonts w:hint="eastAsia" w:ascii="宋体" w:hAnsi="宋体" w:cs="宋体"/>
                <w:szCs w:val="21"/>
              </w:rPr>
              <w:t>3、电线老化引发火灾、临时接电触电</w:t>
            </w:r>
            <w:r>
              <w:rPr>
                <w:rFonts w:ascii="宋体" w:hAnsi="宋体" w:cs="宋体"/>
                <w:szCs w:val="21"/>
              </w:rPr>
              <w:t>,</w:t>
            </w:r>
            <w:r>
              <w:rPr>
                <w:rFonts w:hint="eastAsia" w:ascii="宋体" w:hAnsi="宋体" w:cs="宋体"/>
                <w:szCs w:val="21"/>
              </w:rPr>
              <w:t>管理方案：</w:t>
            </w:r>
            <w:r>
              <w:rPr>
                <w:rFonts w:ascii="宋体" w:hAnsi="宋体" w:cs="宋体"/>
                <w:szCs w:val="21"/>
              </w:rPr>
              <w:t>a</w:t>
            </w:r>
            <w:r>
              <w:rPr>
                <w:rFonts w:hint="eastAsia" w:ascii="宋体" w:hAnsi="宋体" w:cs="宋体"/>
                <w:szCs w:val="21"/>
              </w:rPr>
              <w:t xml:space="preserve">、电线检修  </w:t>
            </w:r>
            <w:r>
              <w:rPr>
                <w:rFonts w:ascii="宋体" w:hAnsi="宋体" w:cs="宋体"/>
                <w:szCs w:val="21"/>
              </w:rPr>
              <w:t>b</w:t>
            </w:r>
            <w:r>
              <w:rPr>
                <w:rFonts w:hint="eastAsia" w:ascii="宋体" w:hAnsi="宋体" w:cs="宋体"/>
                <w:szCs w:val="21"/>
              </w:rPr>
              <w:t>、对职工进行安全教育培训。执行部门：各部门，责任人：</w:t>
            </w:r>
            <w:r>
              <w:rPr>
                <w:rFonts w:hint="eastAsia"/>
                <w:lang w:eastAsia="zh-CN"/>
              </w:rPr>
              <w:t>冯俊</w:t>
            </w:r>
            <w:r>
              <w:rPr>
                <w:rFonts w:hint="eastAsia"/>
              </w:rPr>
              <w:t xml:space="preserve"> </w:t>
            </w:r>
            <w:r>
              <w:t xml:space="preserve"> </w:t>
            </w:r>
            <w:r>
              <w:rPr>
                <w:rFonts w:hint="eastAsia" w:ascii="宋体" w:hAnsi="宋体" w:cs="宋体"/>
                <w:szCs w:val="21"/>
              </w:rPr>
              <w:t>执行日期：</w:t>
            </w:r>
            <w:r>
              <w:rPr>
                <w:rFonts w:hint="eastAsia" w:ascii="宋体" w:hAnsi="宋体"/>
                <w:szCs w:val="21"/>
              </w:rPr>
              <w:t>2019年</w:t>
            </w:r>
            <w:r>
              <w:rPr>
                <w:rFonts w:hint="eastAsia" w:ascii="宋体" w:hAnsi="宋体"/>
                <w:szCs w:val="21"/>
                <w:lang w:val="en-US" w:eastAsia="zh-CN"/>
              </w:rPr>
              <w:t>9</w:t>
            </w:r>
            <w:r>
              <w:rPr>
                <w:rFonts w:hint="eastAsia" w:ascii="宋体" w:hAnsi="宋体"/>
                <w:szCs w:val="21"/>
              </w:rPr>
              <w:t>月-20</w:t>
            </w:r>
            <w:r>
              <w:rPr>
                <w:rFonts w:ascii="宋体" w:hAnsi="宋体"/>
                <w:szCs w:val="21"/>
              </w:rPr>
              <w:t>20</w:t>
            </w:r>
            <w:r>
              <w:rPr>
                <w:rFonts w:hint="eastAsia" w:ascii="宋体" w:hAnsi="宋体"/>
                <w:szCs w:val="21"/>
              </w:rPr>
              <w:t>年12月。</w:t>
            </w:r>
          </w:p>
          <w:p>
            <w:pPr>
              <w:ind w:firstLine="420" w:firstLineChars="200"/>
              <w:rPr>
                <w:szCs w:val="21"/>
              </w:rPr>
            </w:pPr>
            <w:r>
              <w:rPr>
                <w:rFonts w:hint="eastAsia" w:ascii="宋体" w:hAnsi="宋体" w:cs="宋体"/>
                <w:szCs w:val="21"/>
              </w:rPr>
              <w:t>上述目标、指标2</w:t>
            </w:r>
            <w:r>
              <w:rPr>
                <w:rFonts w:ascii="宋体" w:hAnsi="宋体" w:cs="宋体"/>
                <w:szCs w:val="21"/>
              </w:rPr>
              <w:t>019</w:t>
            </w:r>
            <w:r>
              <w:rPr>
                <w:rFonts w:hint="eastAsia" w:ascii="宋体" w:hAnsi="宋体" w:cs="宋体"/>
                <w:szCs w:val="21"/>
              </w:rPr>
              <w:t>年第二、三季度进行考核，考核结果：全部达标，检查</w:t>
            </w:r>
            <w:r>
              <w:rPr>
                <w:rFonts w:hint="eastAsia" w:ascii="宋体" w:hAnsi="宋体" w:cs="宋体"/>
                <w:color w:val="auto"/>
                <w:szCs w:val="21"/>
              </w:rPr>
              <w:t>人：</w:t>
            </w:r>
            <w:r>
              <w:rPr>
                <w:rFonts w:hint="eastAsia"/>
                <w:color w:val="auto"/>
                <w:kern w:val="0"/>
                <w:sz w:val="22"/>
                <w:lang w:eastAsia="zh-CN"/>
              </w:rPr>
              <w:t>李蔚彧</w:t>
            </w:r>
            <w:r>
              <w:rPr>
                <w:rFonts w:hint="eastAsia" w:ascii="宋体" w:hAnsi="宋体" w:cs="宋体"/>
                <w:color w:val="auto"/>
                <w:szCs w:val="21"/>
              </w:rPr>
              <w:t>。制定的指标和管理方案基本可行。</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56" w:type="dxa"/>
            <w:vAlign w:val="center"/>
          </w:tcPr>
          <w:p>
            <w:pPr>
              <w:rPr>
                <w:szCs w:val="21"/>
              </w:rPr>
            </w:pPr>
            <w:r>
              <w:rPr>
                <w:rFonts w:hint="eastAsia"/>
                <w:szCs w:val="21"/>
              </w:rPr>
              <w:t>危险源识别</w:t>
            </w:r>
          </w:p>
        </w:tc>
        <w:tc>
          <w:tcPr>
            <w:tcW w:w="1269" w:type="dxa"/>
            <w:vAlign w:val="center"/>
          </w:tcPr>
          <w:p>
            <w:pPr>
              <w:rPr>
                <w:rFonts w:hint="default" w:eastAsia="宋体"/>
                <w:szCs w:val="21"/>
                <w:lang w:val="en-US" w:eastAsia="zh-CN"/>
              </w:rPr>
            </w:pPr>
            <w:r>
              <w:rPr>
                <w:rFonts w:hint="eastAsia"/>
                <w:szCs w:val="21"/>
                <w:lang w:val="en-US" w:eastAsia="zh-CN"/>
              </w:rPr>
              <w:t>S</w:t>
            </w:r>
            <w:r>
              <w:rPr>
                <w:rFonts w:hint="eastAsia"/>
                <w:szCs w:val="21"/>
              </w:rPr>
              <w:t>6.1</w:t>
            </w:r>
            <w:r>
              <w:rPr>
                <w:rFonts w:hint="eastAsia"/>
                <w:szCs w:val="21"/>
                <w:lang w:val="en-US" w:eastAsia="zh-CN"/>
              </w:rPr>
              <w:t>.2</w:t>
            </w:r>
          </w:p>
          <w:p>
            <w:pPr>
              <w:rPr>
                <w:szCs w:val="21"/>
              </w:rPr>
            </w:pPr>
          </w:p>
        </w:tc>
        <w:tc>
          <w:tcPr>
            <w:tcW w:w="10947" w:type="dxa"/>
            <w:vAlign w:val="center"/>
          </w:tcPr>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通过是非法，识别出不可接受风险，涉及：火灾、触电、意外伤害等，评价符合程序要求及公司的实际情况。对危险源的控制措施包括制定管理制度、监督检查、应急预案、培训等。</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运行控制</w:t>
            </w: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8.1</w:t>
            </w:r>
          </w:p>
          <w:p>
            <w:pPr>
              <w:spacing w:line="280" w:lineRule="exact"/>
              <w:rPr>
                <w:rFonts w:asciiTheme="minorEastAsia" w:hAnsiTheme="minorEastAsia" w:eastAsiaTheme="minorEastAsia" w:cstheme="minorEastAsia"/>
                <w:szCs w:val="21"/>
              </w:rPr>
            </w:pPr>
          </w:p>
        </w:tc>
        <w:tc>
          <w:tcPr>
            <w:tcW w:w="10947"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本部门执行节能降耗控制程序、固体废弃物控制程序、环境管理控制程序、档案管理制定合同管理制定、印章管理制度、代理工作办法项目管理手册</w:t>
            </w:r>
            <w:r>
              <w:rPr>
                <w:rFonts w:hint="eastAsia" w:asciiTheme="minorEastAsia" w:hAnsiTheme="minorEastAsia" w:eastAsiaTheme="minorEastAsia" w:cstheme="minorEastAsia"/>
                <w:szCs w:val="21"/>
                <w:lang w:val="en-GB"/>
              </w:rPr>
              <w:t>、车辆管理规定</w:t>
            </w:r>
            <w:r>
              <w:rPr>
                <w:rFonts w:hint="eastAsia" w:asciiTheme="minorEastAsia" w:hAnsiTheme="minorEastAsia" w:eastAsiaTheme="minorEastAsia" w:cstheme="minorEastAsia"/>
                <w:szCs w:val="21"/>
              </w:rPr>
              <w:t>等。</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运行控制情况：办公过程注意节约用电，做到人走灯灭，电脑长时间不用时关机，下班前要关闭电源；办公区域内配置的灭火器,在有效期内。</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办公过程使用的电器如：空调、电脑、灯具均符合安全设计要求，使用过程注意安全，预防触电，工作时间平均每天8小时；</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办公用品按要求由</w:t>
            </w:r>
            <w:r>
              <w:rPr>
                <w:rFonts w:hint="eastAsia" w:asciiTheme="minorEastAsia" w:hAnsiTheme="minorEastAsia" w:eastAsiaTheme="minorEastAsia" w:cstheme="minorEastAsia"/>
                <w:szCs w:val="21"/>
              </w:rPr>
              <w:t>综合部</w:t>
            </w:r>
            <w:r>
              <w:rPr>
                <w:rFonts w:hint="eastAsia" w:asciiTheme="minorEastAsia" w:hAnsiTheme="minorEastAsia" w:eastAsiaTheme="minorEastAsia" w:cstheme="minorEastAsia"/>
                <w:szCs w:val="21"/>
                <w:lang w:val="en-GB"/>
              </w:rPr>
              <w:t>负责发放，作好记录；</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公司办公产生的废硒鼓、废墨盒、色带由供应方公司回收；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查：废弃物回收处理登记表。</w:t>
            </w:r>
            <w:r>
              <w:rPr>
                <w:rFonts w:hint="eastAsia" w:asciiTheme="minorEastAsia" w:hAnsiTheme="minorEastAsia" w:eastAsiaTheme="minorEastAsia" w:cstheme="minorEastAsia"/>
                <w:szCs w:val="21"/>
                <w:lang w:val="en-GB"/>
              </w:rPr>
              <w:t>废弃物种类、排放量 、日期</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、统计人、处置办法、废硒鼓墨盒、</w:t>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en-GB"/>
              </w:rPr>
              <w:t>个  2019.</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lang w:val="en-GB"/>
              </w:rPr>
              <w:t>.</w:t>
            </w:r>
            <w:r>
              <w:rPr>
                <w:rFonts w:hint="eastAsia" w:asciiTheme="minorEastAsia" w:hAnsiTheme="minorEastAsia" w:eastAsiaTheme="minorEastAsia" w:cstheme="minorEastAsia"/>
                <w:szCs w:val="21"/>
              </w:rPr>
              <w:t>22</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 xml:space="preserve"> </w:t>
            </w:r>
            <w:r>
              <w:rPr>
                <w:rFonts w:hint="eastAsia" w:asciiTheme="minorEastAsia" w:hAnsiTheme="minorEastAsia" w:eastAsiaTheme="minorEastAsia" w:cstheme="minorEastAsia"/>
                <w:szCs w:val="21"/>
              </w:rPr>
              <w:t>许丽飞</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 xml:space="preserve">  集中存放交供应商</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GB"/>
              </w:rPr>
              <w:t>生活垃圾  随时</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环卫所，查到公司为员工缴纳了养老、工伤、医疗等保险。提供了缴纳保险的</w:t>
            </w:r>
            <w:r>
              <w:rPr>
                <w:rFonts w:hint="eastAsia" w:asciiTheme="minorEastAsia" w:hAnsiTheme="minorEastAsia" w:eastAsiaTheme="minorEastAsia" w:cstheme="minorEastAsia"/>
                <w:szCs w:val="21"/>
              </w:rPr>
              <w:t>票据及社会保险在职人员信息统计表。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现场查看办公区域配备有符合要求的灭火器，综合部设备、电器状态良好，无安全隐患。</w:t>
            </w:r>
          </w:p>
          <w:p>
            <w:pPr>
              <w:pStyle w:val="2"/>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Cs w:val="0"/>
                <w:spacing w:val="0"/>
                <w:szCs w:val="21"/>
              </w:rPr>
              <w:t>提供了20</w:t>
            </w:r>
            <w:r>
              <w:rPr>
                <w:rFonts w:hint="eastAsia" w:asciiTheme="minorEastAsia" w:hAnsiTheme="minorEastAsia" w:eastAsiaTheme="minorEastAsia" w:cstheme="minorEastAsia"/>
                <w:bCs w:val="0"/>
                <w:spacing w:val="0"/>
                <w:szCs w:val="21"/>
                <w:lang w:val="en-US" w:eastAsia="zh-CN"/>
              </w:rPr>
              <w:t>19.9-2020</w:t>
            </w:r>
            <w:r>
              <w:rPr>
                <w:rFonts w:hint="eastAsia" w:asciiTheme="minorEastAsia" w:hAnsiTheme="minorEastAsia" w:eastAsiaTheme="minorEastAsia" w:cstheme="minorEastAsia"/>
                <w:bCs w:val="0"/>
                <w:spacing w:val="0"/>
                <w:szCs w:val="21"/>
              </w:rPr>
              <w:t>年</w:t>
            </w:r>
            <w:r>
              <w:rPr>
                <w:rFonts w:hint="eastAsia" w:asciiTheme="minorEastAsia" w:hAnsiTheme="minorEastAsia" w:eastAsiaTheme="minorEastAsia" w:cstheme="minorEastAsia"/>
                <w:bCs w:val="0"/>
                <w:spacing w:val="0"/>
                <w:szCs w:val="21"/>
                <w:lang w:val="en-US" w:eastAsia="zh-CN"/>
              </w:rPr>
              <w:t>3</w:t>
            </w:r>
            <w:r>
              <w:rPr>
                <w:rFonts w:hint="eastAsia" w:asciiTheme="minorEastAsia" w:hAnsiTheme="minorEastAsia" w:eastAsiaTheme="minorEastAsia" w:cstheme="minorEastAsia"/>
                <w:bCs w:val="0"/>
                <w:spacing w:val="0"/>
                <w:szCs w:val="21"/>
              </w:rPr>
              <w:t>月份工作职业安全检查表，抽查：办公环境、卫生、安全等情况进行了检查，检查</w:t>
            </w:r>
            <w:r>
              <w:rPr>
                <w:rFonts w:hint="eastAsia" w:asciiTheme="minorEastAsia" w:hAnsiTheme="minorEastAsia" w:eastAsiaTheme="minorEastAsia" w:cstheme="minorEastAsia"/>
                <w:bCs w:val="0"/>
                <w:color w:val="auto"/>
                <w:spacing w:val="0"/>
                <w:szCs w:val="21"/>
              </w:rPr>
              <w:t>人：</w:t>
            </w:r>
            <w:r>
              <w:rPr>
                <w:rFonts w:hint="eastAsia"/>
                <w:color w:val="auto"/>
                <w:kern w:val="0"/>
                <w:sz w:val="22"/>
                <w:lang w:eastAsia="zh-CN"/>
              </w:rPr>
              <w:t>李蔚彧</w:t>
            </w:r>
            <w:r>
              <w:rPr>
                <w:rFonts w:hint="eastAsia" w:asciiTheme="minorEastAsia" w:hAnsiTheme="minorEastAsia" w:eastAsiaTheme="minorEastAsia" w:cstheme="minorEastAsia"/>
                <w:bCs w:val="0"/>
                <w:color w:val="000000" w:themeColor="text1"/>
                <w:spacing w:val="0"/>
                <w:szCs w:val="21"/>
                <w14:textFill>
                  <w14:solidFill>
                    <w14:schemeClr w14:val="tx1"/>
                  </w14:solidFill>
                </w14:textFill>
              </w:rPr>
              <w:t>，</w:t>
            </w:r>
            <w:r>
              <w:rPr>
                <w:rFonts w:hint="eastAsia" w:asciiTheme="minorEastAsia" w:hAnsiTheme="minorEastAsia" w:eastAsiaTheme="minorEastAsia" w:cstheme="minorEastAsia"/>
                <w:bCs w:val="0"/>
                <w:color w:val="auto"/>
                <w:spacing w:val="0"/>
                <w:szCs w:val="21"/>
              </w:rPr>
              <w:t>无问题。公司</w:t>
            </w:r>
            <w:r>
              <w:rPr>
                <w:rFonts w:hint="eastAsia" w:asciiTheme="minorEastAsia" w:hAnsiTheme="minorEastAsia" w:eastAsiaTheme="minorEastAsia" w:cstheme="minorEastAsia"/>
                <w:color w:val="auto"/>
                <w:szCs w:val="21"/>
              </w:rPr>
              <w:t>无食堂。</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应急准备和响应</w:t>
            </w: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8.2</w:t>
            </w:r>
          </w:p>
          <w:p>
            <w:pPr>
              <w:spacing w:line="280" w:lineRule="exact"/>
              <w:rPr>
                <w:rFonts w:asciiTheme="minorEastAsia" w:hAnsiTheme="minorEastAsia" w:eastAsiaTheme="minorEastAsia" w:cstheme="minorEastAsia"/>
                <w:szCs w:val="21"/>
              </w:rPr>
            </w:pPr>
          </w:p>
        </w:tc>
        <w:tc>
          <w:tcPr>
            <w:tcW w:w="10947" w:type="dxa"/>
            <w:vAlign w:val="center"/>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lang w:val="en-US" w:eastAsia="zh-CN"/>
              </w:rPr>
              <w:t>参与</w:t>
            </w:r>
            <w:r>
              <w:rPr>
                <w:rFonts w:hint="eastAsia" w:asciiTheme="minorEastAsia" w:hAnsiTheme="minorEastAsia" w:eastAsiaTheme="minorEastAsia" w:cstheme="minorEastAsia"/>
                <w:szCs w:val="21"/>
              </w:rPr>
              <w:t>综合部</w:t>
            </w:r>
            <w:r>
              <w:rPr>
                <w:rFonts w:hint="eastAsia" w:asciiTheme="minorEastAsia" w:hAnsiTheme="minorEastAsia" w:eastAsiaTheme="minorEastAsia" w:cstheme="minorEastAsia"/>
                <w:szCs w:val="21"/>
                <w:lang w:val="en-US" w:eastAsia="zh-CN"/>
              </w:rPr>
              <w:t>应急预案演练，见综合部</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8.2</w:t>
            </w:r>
            <w:bookmarkStart w:id="0" w:name="_GoBack"/>
            <w:bookmarkEnd w:id="0"/>
            <w:r>
              <w:rPr>
                <w:rFonts w:hint="eastAsia" w:asciiTheme="minorEastAsia" w:hAnsiTheme="minorEastAsia" w:eastAsiaTheme="minorEastAsia" w:cstheme="minorEastAsia"/>
                <w:kern w:val="0"/>
                <w:szCs w:val="21"/>
              </w:rPr>
              <w:t>审核记录。</w:t>
            </w:r>
          </w:p>
        </w:tc>
        <w:tc>
          <w:tcPr>
            <w:tcW w:w="837" w:type="dxa"/>
          </w:tcPr>
          <w:p>
            <w:pPr>
              <w:rPr>
                <w:rFonts w:asciiTheme="minorEastAsia" w:hAnsiTheme="minorEastAsia" w:eastAsiaTheme="minorEastAsia" w:cstheme="minorEastAsia"/>
                <w:szCs w:val="21"/>
              </w:rPr>
            </w:pPr>
          </w:p>
        </w:tc>
      </w:tr>
    </w:tbl>
    <w:p>
      <w:r>
        <w:ptab w:relativeTo="margin" w:alignment="center" w:leader="none"/>
      </w:r>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F5936"/>
    <w:rsid w:val="00152A59"/>
    <w:rsid w:val="0018580D"/>
    <w:rsid w:val="001A2D7F"/>
    <w:rsid w:val="001B513C"/>
    <w:rsid w:val="002461FC"/>
    <w:rsid w:val="002F6C64"/>
    <w:rsid w:val="00337922"/>
    <w:rsid w:val="00340867"/>
    <w:rsid w:val="00346D4E"/>
    <w:rsid w:val="00380837"/>
    <w:rsid w:val="003A198A"/>
    <w:rsid w:val="00410914"/>
    <w:rsid w:val="00485006"/>
    <w:rsid w:val="004911A3"/>
    <w:rsid w:val="004F7307"/>
    <w:rsid w:val="00536930"/>
    <w:rsid w:val="005530B6"/>
    <w:rsid w:val="00564E53"/>
    <w:rsid w:val="005D26B9"/>
    <w:rsid w:val="00602AB8"/>
    <w:rsid w:val="00614203"/>
    <w:rsid w:val="00644FE2"/>
    <w:rsid w:val="0067640C"/>
    <w:rsid w:val="006E678B"/>
    <w:rsid w:val="007757F3"/>
    <w:rsid w:val="007E6AEB"/>
    <w:rsid w:val="008066E8"/>
    <w:rsid w:val="008973EE"/>
    <w:rsid w:val="00916D42"/>
    <w:rsid w:val="009634A8"/>
    <w:rsid w:val="00971600"/>
    <w:rsid w:val="009973B4"/>
    <w:rsid w:val="009C28C1"/>
    <w:rsid w:val="009F7EED"/>
    <w:rsid w:val="00AA19B1"/>
    <w:rsid w:val="00AF0AAB"/>
    <w:rsid w:val="00B50ED1"/>
    <w:rsid w:val="00BF597E"/>
    <w:rsid w:val="00BF6A45"/>
    <w:rsid w:val="00C51A36"/>
    <w:rsid w:val="00C55228"/>
    <w:rsid w:val="00CE315A"/>
    <w:rsid w:val="00D06F59"/>
    <w:rsid w:val="00D8388C"/>
    <w:rsid w:val="00E76A83"/>
    <w:rsid w:val="00EB0164"/>
    <w:rsid w:val="00EB2FD5"/>
    <w:rsid w:val="00ED0F62"/>
    <w:rsid w:val="00F1142F"/>
    <w:rsid w:val="00F87C86"/>
    <w:rsid w:val="00FC5A98"/>
    <w:rsid w:val="016031D9"/>
    <w:rsid w:val="01700A1F"/>
    <w:rsid w:val="020C77F5"/>
    <w:rsid w:val="0229203F"/>
    <w:rsid w:val="02320294"/>
    <w:rsid w:val="026A761D"/>
    <w:rsid w:val="02AB1909"/>
    <w:rsid w:val="03097F8F"/>
    <w:rsid w:val="03EE3AEF"/>
    <w:rsid w:val="044D3BF2"/>
    <w:rsid w:val="04517DE0"/>
    <w:rsid w:val="049247C8"/>
    <w:rsid w:val="05394A1E"/>
    <w:rsid w:val="0563390F"/>
    <w:rsid w:val="05AB5A66"/>
    <w:rsid w:val="05EE146B"/>
    <w:rsid w:val="06085B28"/>
    <w:rsid w:val="063268E2"/>
    <w:rsid w:val="06592B22"/>
    <w:rsid w:val="06A27700"/>
    <w:rsid w:val="070746B2"/>
    <w:rsid w:val="075A6ACC"/>
    <w:rsid w:val="076734E6"/>
    <w:rsid w:val="07AD06EB"/>
    <w:rsid w:val="08121331"/>
    <w:rsid w:val="083500E5"/>
    <w:rsid w:val="08815595"/>
    <w:rsid w:val="08BF3AED"/>
    <w:rsid w:val="09B67D8F"/>
    <w:rsid w:val="0AEA5DDA"/>
    <w:rsid w:val="0BB53E0B"/>
    <w:rsid w:val="0CA54228"/>
    <w:rsid w:val="0CB71131"/>
    <w:rsid w:val="0CB80D72"/>
    <w:rsid w:val="0DCF5C39"/>
    <w:rsid w:val="0E1556EC"/>
    <w:rsid w:val="0E47569A"/>
    <w:rsid w:val="0E807EAF"/>
    <w:rsid w:val="0E9A3732"/>
    <w:rsid w:val="0EBD645D"/>
    <w:rsid w:val="0ECC1CD0"/>
    <w:rsid w:val="0EED0A6D"/>
    <w:rsid w:val="0F3554A6"/>
    <w:rsid w:val="0F4A24B1"/>
    <w:rsid w:val="0F834948"/>
    <w:rsid w:val="106E4F62"/>
    <w:rsid w:val="108219C2"/>
    <w:rsid w:val="127C0884"/>
    <w:rsid w:val="127E6F4E"/>
    <w:rsid w:val="13070F9C"/>
    <w:rsid w:val="13937400"/>
    <w:rsid w:val="13B32E43"/>
    <w:rsid w:val="13E03628"/>
    <w:rsid w:val="13E21228"/>
    <w:rsid w:val="14083AFA"/>
    <w:rsid w:val="14477BD8"/>
    <w:rsid w:val="14585FDB"/>
    <w:rsid w:val="14D0194E"/>
    <w:rsid w:val="155F58E9"/>
    <w:rsid w:val="157E6280"/>
    <w:rsid w:val="15EC3A22"/>
    <w:rsid w:val="16405DBE"/>
    <w:rsid w:val="17334766"/>
    <w:rsid w:val="17375D6B"/>
    <w:rsid w:val="174F7EB6"/>
    <w:rsid w:val="1789777E"/>
    <w:rsid w:val="17B9007E"/>
    <w:rsid w:val="17E61249"/>
    <w:rsid w:val="17ED4878"/>
    <w:rsid w:val="183E4AD4"/>
    <w:rsid w:val="185C1D51"/>
    <w:rsid w:val="18761BE8"/>
    <w:rsid w:val="188236BD"/>
    <w:rsid w:val="19144D7A"/>
    <w:rsid w:val="196C16DA"/>
    <w:rsid w:val="197658FE"/>
    <w:rsid w:val="19B746F1"/>
    <w:rsid w:val="19CC0287"/>
    <w:rsid w:val="19CD0B20"/>
    <w:rsid w:val="1A084F58"/>
    <w:rsid w:val="1A1C2983"/>
    <w:rsid w:val="1AC421C4"/>
    <w:rsid w:val="1B0C37B9"/>
    <w:rsid w:val="1B1A539F"/>
    <w:rsid w:val="1B303CC6"/>
    <w:rsid w:val="1C627294"/>
    <w:rsid w:val="1C642030"/>
    <w:rsid w:val="1CD86067"/>
    <w:rsid w:val="1D094C34"/>
    <w:rsid w:val="1D6F2010"/>
    <w:rsid w:val="1ED24569"/>
    <w:rsid w:val="1EED3319"/>
    <w:rsid w:val="1EF17CF7"/>
    <w:rsid w:val="1F310F57"/>
    <w:rsid w:val="205D5AFA"/>
    <w:rsid w:val="20AA6AAB"/>
    <w:rsid w:val="20E91694"/>
    <w:rsid w:val="20F04213"/>
    <w:rsid w:val="20F75AF0"/>
    <w:rsid w:val="21171A1C"/>
    <w:rsid w:val="21636CFE"/>
    <w:rsid w:val="227F7918"/>
    <w:rsid w:val="22B03105"/>
    <w:rsid w:val="22C76E54"/>
    <w:rsid w:val="23132509"/>
    <w:rsid w:val="23567095"/>
    <w:rsid w:val="23A90D6C"/>
    <w:rsid w:val="267C5B3B"/>
    <w:rsid w:val="26DF0BE0"/>
    <w:rsid w:val="270A0E50"/>
    <w:rsid w:val="279236D1"/>
    <w:rsid w:val="28780890"/>
    <w:rsid w:val="28841C7E"/>
    <w:rsid w:val="2898019B"/>
    <w:rsid w:val="28AF03D1"/>
    <w:rsid w:val="28D43129"/>
    <w:rsid w:val="28DE357E"/>
    <w:rsid w:val="2AEE4149"/>
    <w:rsid w:val="2B2068DF"/>
    <w:rsid w:val="2B336843"/>
    <w:rsid w:val="2C3F6B85"/>
    <w:rsid w:val="2C4C70B9"/>
    <w:rsid w:val="2C657F2F"/>
    <w:rsid w:val="2D726C52"/>
    <w:rsid w:val="2E7A25BA"/>
    <w:rsid w:val="2E9477A7"/>
    <w:rsid w:val="2EF72413"/>
    <w:rsid w:val="2F0A30A5"/>
    <w:rsid w:val="2F9E49DE"/>
    <w:rsid w:val="2FA93088"/>
    <w:rsid w:val="2FCA3D2E"/>
    <w:rsid w:val="2FDB118D"/>
    <w:rsid w:val="301503AB"/>
    <w:rsid w:val="30B26641"/>
    <w:rsid w:val="30F11502"/>
    <w:rsid w:val="31E7088E"/>
    <w:rsid w:val="325E6175"/>
    <w:rsid w:val="32AB4D7B"/>
    <w:rsid w:val="34182198"/>
    <w:rsid w:val="341F2CF0"/>
    <w:rsid w:val="34FE7B76"/>
    <w:rsid w:val="364D7E25"/>
    <w:rsid w:val="37BC647C"/>
    <w:rsid w:val="37C47C75"/>
    <w:rsid w:val="37F072AB"/>
    <w:rsid w:val="383A5CE5"/>
    <w:rsid w:val="38CC6BF0"/>
    <w:rsid w:val="38D218EE"/>
    <w:rsid w:val="39620650"/>
    <w:rsid w:val="3A8F5907"/>
    <w:rsid w:val="3A921BE6"/>
    <w:rsid w:val="3AFA404A"/>
    <w:rsid w:val="3B4D71AC"/>
    <w:rsid w:val="3B8A40ED"/>
    <w:rsid w:val="3B8C44AE"/>
    <w:rsid w:val="3C2033E1"/>
    <w:rsid w:val="3C923E00"/>
    <w:rsid w:val="3EB55B1E"/>
    <w:rsid w:val="3F5852D2"/>
    <w:rsid w:val="3FD81520"/>
    <w:rsid w:val="40194BFD"/>
    <w:rsid w:val="40E9016E"/>
    <w:rsid w:val="421B1AE2"/>
    <w:rsid w:val="429F6852"/>
    <w:rsid w:val="43007ABB"/>
    <w:rsid w:val="43596304"/>
    <w:rsid w:val="44086081"/>
    <w:rsid w:val="44801FF5"/>
    <w:rsid w:val="44CE3024"/>
    <w:rsid w:val="44D54B0B"/>
    <w:rsid w:val="44DB3A8D"/>
    <w:rsid w:val="457A5192"/>
    <w:rsid w:val="469D6807"/>
    <w:rsid w:val="48931CBC"/>
    <w:rsid w:val="4922441A"/>
    <w:rsid w:val="4AAE6C5D"/>
    <w:rsid w:val="4AB442D2"/>
    <w:rsid w:val="4AD13D3E"/>
    <w:rsid w:val="4AF15A00"/>
    <w:rsid w:val="4B0C2EE8"/>
    <w:rsid w:val="4B3F3B3E"/>
    <w:rsid w:val="4BE173AE"/>
    <w:rsid w:val="4C292779"/>
    <w:rsid w:val="4C542AFE"/>
    <w:rsid w:val="4DA20616"/>
    <w:rsid w:val="4DD461B7"/>
    <w:rsid w:val="4EA4309E"/>
    <w:rsid w:val="4EDE0A1E"/>
    <w:rsid w:val="4F2E6357"/>
    <w:rsid w:val="4F353343"/>
    <w:rsid w:val="50080A3B"/>
    <w:rsid w:val="50AC4660"/>
    <w:rsid w:val="50B54941"/>
    <w:rsid w:val="50F4061B"/>
    <w:rsid w:val="519A380E"/>
    <w:rsid w:val="527201F3"/>
    <w:rsid w:val="52D034C9"/>
    <w:rsid w:val="53681C67"/>
    <w:rsid w:val="53833895"/>
    <w:rsid w:val="53DB5EEE"/>
    <w:rsid w:val="54E857F9"/>
    <w:rsid w:val="559E18D7"/>
    <w:rsid w:val="55A92C67"/>
    <w:rsid w:val="55D94ABB"/>
    <w:rsid w:val="564B3B4B"/>
    <w:rsid w:val="567A1742"/>
    <w:rsid w:val="5794697E"/>
    <w:rsid w:val="57C261E2"/>
    <w:rsid w:val="58364B3B"/>
    <w:rsid w:val="583D2730"/>
    <w:rsid w:val="5867418E"/>
    <w:rsid w:val="58AE1E4B"/>
    <w:rsid w:val="59B51302"/>
    <w:rsid w:val="5ACE1865"/>
    <w:rsid w:val="5AD22955"/>
    <w:rsid w:val="5BED5ECF"/>
    <w:rsid w:val="5C074BB5"/>
    <w:rsid w:val="5C324B6E"/>
    <w:rsid w:val="5D661EA7"/>
    <w:rsid w:val="5D7E3152"/>
    <w:rsid w:val="5E1E20EE"/>
    <w:rsid w:val="5E4A2A4D"/>
    <w:rsid w:val="5E650263"/>
    <w:rsid w:val="5EA12B9A"/>
    <w:rsid w:val="5EAF2FF8"/>
    <w:rsid w:val="5EEB373D"/>
    <w:rsid w:val="5F787693"/>
    <w:rsid w:val="605343A8"/>
    <w:rsid w:val="60A96983"/>
    <w:rsid w:val="60AD4CC6"/>
    <w:rsid w:val="611B2B9B"/>
    <w:rsid w:val="622B2A10"/>
    <w:rsid w:val="629A7367"/>
    <w:rsid w:val="62A975E6"/>
    <w:rsid w:val="63525E02"/>
    <w:rsid w:val="635904C6"/>
    <w:rsid w:val="636F085F"/>
    <w:rsid w:val="644F4682"/>
    <w:rsid w:val="64636355"/>
    <w:rsid w:val="64C93330"/>
    <w:rsid w:val="651264CF"/>
    <w:rsid w:val="65DF0C14"/>
    <w:rsid w:val="65EC26E5"/>
    <w:rsid w:val="67796626"/>
    <w:rsid w:val="67C765B2"/>
    <w:rsid w:val="67DA78D8"/>
    <w:rsid w:val="68890868"/>
    <w:rsid w:val="68CB25BD"/>
    <w:rsid w:val="692010FA"/>
    <w:rsid w:val="699957B8"/>
    <w:rsid w:val="69BD7669"/>
    <w:rsid w:val="6A9502DF"/>
    <w:rsid w:val="6B480A94"/>
    <w:rsid w:val="6B4C31AC"/>
    <w:rsid w:val="6B7733B3"/>
    <w:rsid w:val="6BBE2D00"/>
    <w:rsid w:val="6BC81E26"/>
    <w:rsid w:val="6C063ACC"/>
    <w:rsid w:val="6C8068EF"/>
    <w:rsid w:val="6D191EDF"/>
    <w:rsid w:val="6D6B3AF8"/>
    <w:rsid w:val="6D925C6C"/>
    <w:rsid w:val="6DC4767F"/>
    <w:rsid w:val="6E025ED1"/>
    <w:rsid w:val="6E373AB8"/>
    <w:rsid w:val="6E4F1F64"/>
    <w:rsid w:val="6E771EC7"/>
    <w:rsid w:val="6EE23F88"/>
    <w:rsid w:val="6F0E1A81"/>
    <w:rsid w:val="6F1D7201"/>
    <w:rsid w:val="701B3049"/>
    <w:rsid w:val="70BD4579"/>
    <w:rsid w:val="7106307D"/>
    <w:rsid w:val="711A2EB2"/>
    <w:rsid w:val="71431F5E"/>
    <w:rsid w:val="71772E88"/>
    <w:rsid w:val="71A54DCA"/>
    <w:rsid w:val="721262CF"/>
    <w:rsid w:val="72586A8C"/>
    <w:rsid w:val="72DF57EB"/>
    <w:rsid w:val="736B0691"/>
    <w:rsid w:val="746E2276"/>
    <w:rsid w:val="74A06F77"/>
    <w:rsid w:val="74E67290"/>
    <w:rsid w:val="7505395A"/>
    <w:rsid w:val="75D83D48"/>
    <w:rsid w:val="764A3BAD"/>
    <w:rsid w:val="76A61C78"/>
    <w:rsid w:val="77443805"/>
    <w:rsid w:val="77634AF4"/>
    <w:rsid w:val="776569B7"/>
    <w:rsid w:val="79D03FA2"/>
    <w:rsid w:val="79F644BC"/>
    <w:rsid w:val="7A4D0A5B"/>
    <w:rsid w:val="7A715CAF"/>
    <w:rsid w:val="7AB739AF"/>
    <w:rsid w:val="7ABE5BA4"/>
    <w:rsid w:val="7B110D85"/>
    <w:rsid w:val="7B132209"/>
    <w:rsid w:val="7BFB5444"/>
    <w:rsid w:val="7C0A479B"/>
    <w:rsid w:val="7C0D2B38"/>
    <w:rsid w:val="7C252604"/>
    <w:rsid w:val="7CD56D1D"/>
    <w:rsid w:val="7CEA10C5"/>
    <w:rsid w:val="7D58139C"/>
    <w:rsid w:val="7DC4606F"/>
    <w:rsid w:val="7E0C57DA"/>
    <w:rsid w:val="7E522F2D"/>
    <w:rsid w:val="7E5B6366"/>
    <w:rsid w:val="7E7A730D"/>
    <w:rsid w:val="7E826134"/>
    <w:rsid w:val="7F855C0E"/>
    <w:rsid w:val="7FB877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560" w:firstLineChars="200"/>
    </w:pPr>
    <w:rPr>
      <w:rFonts w:ascii="宋体" w:hAnsi="宋体"/>
      <w:color w:val="FF0000"/>
      <w:sz w:val="28"/>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qFormat/>
    <w:uiPriority w:val="0"/>
    <w:pPr>
      <w:ind w:firstLine="420"/>
      <w:jc w:val="left"/>
    </w:pPr>
    <w:rPr>
      <w:rFonts w:eastAsia="仿宋_GB2312"/>
      <w:color w:val="00000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rFonts w:ascii="Times New Roman" w:hAnsi="Times New Roman" w:eastAsia="宋体" w:cs="Times New Roman"/>
      <w:sz w:val="18"/>
      <w:szCs w:val="18"/>
    </w:rPr>
  </w:style>
  <w:style w:type="character" w:customStyle="1" w:styleId="12">
    <w:name w:val="页脚 字符"/>
    <w:basedOn w:val="10"/>
    <w:link w:val="5"/>
    <w:qFormat/>
    <w:uiPriority w:val="99"/>
    <w:rPr>
      <w:rFonts w:ascii="Times New Roman" w:hAnsi="Times New Roman" w:eastAsia="宋体" w:cs="Times New Roman"/>
      <w:sz w:val="18"/>
      <w:szCs w:val="18"/>
    </w:rPr>
  </w:style>
  <w:style w:type="character" w:customStyle="1" w:styleId="13">
    <w:name w:val="批注框文本 字符"/>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_Style 2"/>
    <w:basedOn w:val="1"/>
    <w:qFormat/>
    <w:uiPriority w:val="34"/>
    <w:pPr>
      <w:widowControl/>
      <w:ind w:firstLine="420" w:firstLineChars="200"/>
      <w:jc w:val="left"/>
    </w:pPr>
    <w:rPr>
      <w:kern w:val="0"/>
      <w:sz w:val="20"/>
      <w:lang w:eastAsia="en-US"/>
    </w:rPr>
  </w:style>
  <w:style w:type="paragraph" w:styleId="16">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756</Words>
  <Characters>4313</Characters>
  <Lines>35</Lines>
  <Paragraphs>10</Paragraphs>
  <TotalTime>0</TotalTime>
  <ScaleCrop>false</ScaleCrop>
  <LinksUpToDate>false</LinksUpToDate>
  <CharactersWithSpaces>5059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2020-06-26T09:51:44Z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