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 0256-2020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河北欣悦辉金属制造有限公司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17.12.05;29.11.04</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45"/>
        <w:gridCol w:w="107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河北欣悦辉金属制造有限公司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57" w:type="dxa"/>
            <w:gridSpan w:val="3"/>
          </w:tcPr>
          <w:p>
            <w:pPr>
              <w:spacing w:line="280" w:lineRule="exact"/>
              <w:rPr>
                <w:rFonts w:ascii="宋体"/>
                <w:b/>
                <w:color w:val="000000"/>
                <w:sz w:val="20"/>
                <w:szCs w:val="20"/>
              </w:rPr>
            </w:pPr>
            <w:bookmarkStart w:id="2" w:name="注册地址"/>
            <w:r>
              <w:rPr>
                <w:rFonts w:ascii="宋体"/>
                <w:b/>
                <w:color w:val="000000"/>
                <w:sz w:val="20"/>
                <w:szCs w:val="20"/>
              </w:rPr>
              <w:t>河北省沧州市孟村回族自治县新县镇南肖庄子工业区</w:t>
            </w:r>
            <w:bookmarkEnd w:id="2"/>
          </w:p>
        </w:tc>
        <w:tc>
          <w:tcPr>
            <w:tcW w:w="107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57" w:type="dxa"/>
            <w:gridSpan w:val="3"/>
          </w:tcPr>
          <w:p>
            <w:pPr>
              <w:spacing w:line="280" w:lineRule="exact"/>
              <w:rPr>
                <w:rFonts w:ascii="宋体"/>
                <w:b/>
                <w:color w:val="000000"/>
                <w:sz w:val="20"/>
                <w:szCs w:val="20"/>
              </w:rPr>
            </w:pPr>
            <w:r>
              <w:rPr>
                <w:rFonts w:ascii="宋体"/>
                <w:b/>
                <w:color w:val="000000"/>
                <w:sz w:val="20"/>
                <w:szCs w:val="20"/>
              </w:rPr>
              <w:t>河北省沧州市孟村回族自治县新县镇南肖庄子工业区</w:t>
            </w:r>
          </w:p>
        </w:tc>
        <w:tc>
          <w:tcPr>
            <w:tcW w:w="1077"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刘建辉</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345" w:type="dxa"/>
            <w:vAlign w:val="center"/>
          </w:tcPr>
          <w:p>
            <w:pPr>
              <w:spacing w:line="280" w:lineRule="exact"/>
              <w:rPr>
                <w:rFonts w:ascii="宋体"/>
                <w:b/>
                <w:color w:val="000000"/>
                <w:sz w:val="20"/>
                <w:szCs w:val="20"/>
              </w:rPr>
            </w:pPr>
            <w:r>
              <w:rPr>
                <w:rFonts w:ascii="宋体"/>
                <w:b/>
                <w:color w:val="000000"/>
                <w:sz w:val="20"/>
                <w:szCs w:val="20"/>
              </w:rPr>
              <w:t xml:space="preserve"> </w:t>
            </w:r>
            <w:bookmarkStart w:id="4" w:name="联系人手机"/>
            <w:r>
              <w:rPr>
                <w:rFonts w:ascii="宋体"/>
                <w:b/>
                <w:color w:val="000000"/>
                <w:sz w:val="20"/>
                <w:szCs w:val="20"/>
              </w:rPr>
              <w:t>13483820000</w:t>
            </w:r>
            <w:bookmarkEnd w:id="4"/>
          </w:p>
        </w:tc>
        <w:tc>
          <w:tcPr>
            <w:tcW w:w="107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ascii="宋体"/>
                <w:b/>
                <w:color w:val="000000"/>
                <w:sz w:val="20"/>
                <w:szCs w:val="20"/>
              </w:rPr>
              <w:t>刘建辉</w:t>
            </w:r>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345" w:type="dxa"/>
          </w:tcPr>
          <w:p>
            <w:pPr>
              <w:rPr>
                <w:rFonts w:ascii="宋体"/>
                <w:b/>
                <w:color w:val="000000"/>
                <w:sz w:val="20"/>
                <w:szCs w:val="20"/>
              </w:rPr>
            </w:pPr>
            <w:r>
              <w:rPr>
                <w:rFonts w:hint="eastAsia" w:ascii="宋体"/>
                <w:b/>
                <w:color w:val="000000"/>
                <w:sz w:val="20"/>
                <w:szCs w:val="20"/>
                <w:lang w:val="zh-CN"/>
              </w:rPr>
              <w:t>刘建昌</w:t>
            </w:r>
          </w:p>
        </w:tc>
        <w:tc>
          <w:tcPr>
            <w:tcW w:w="1077"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zh-CN"/>
              </w:rPr>
              <w:t>20</w:t>
            </w:r>
            <w:r>
              <w:rPr>
                <w:rFonts w:hint="eastAsia" w:ascii="宋体"/>
                <w:b/>
                <w:color w:val="000000"/>
                <w:sz w:val="20"/>
                <w:szCs w:val="20"/>
                <w:lang w:val="en-US" w:eastAsia="zh-CN"/>
              </w:rPr>
              <w:t>20</w:t>
            </w:r>
            <w:r>
              <w:rPr>
                <w:rFonts w:hint="eastAsia" w:ascii="宋体"/>
                <w:b/>
                <w:color w:val="000000"/>
                <w:sz w:val="20"/>
                <w:szCs w:val="20"/>
                <w:lang w:val="zh-CN"/>
              </w:rPr>
              <w:t>年</w:t>
            </w:r>
            <w:r>
              <w:rPr>
                <w:rFonts w:hint="eastAsia" w:ascii="宋体"/>
                <w:b/>
                <w:color w:val="000000"/>
                <w:sz w:val="20"/>
                <w:szCs w:val="20"/>
                <w:lang w:val="en-US" w:eastAsia="zh-CN"/>
              </w:rPr>
              <w:t>1</w:t>
            </w:r>
            <w:r>
              <w:rPr>
                <w:rFonts w:hint="eastAsia" w:ascii="宋体"/>
                <w:b/>
                <w:color w:val="000000"/>
                <w:sz w:val="20"/>
                <w:szCs w:val="20"/>
                <w:lang w:val="zh-CN"/>
              </w:rPr>
              <w:t>月</w:t>
            </w:r>
            <w:r>
              <w:rPr>
                <w:rFonts w:hint="eastAsia" w:ascii="宋体"/>
                <w:b/>
                <w:color w:val="000000"/>
                <w:sz w:val="20"/>
                <w:szCs w:val="20"/>
                <w:lang w:val="en-US" w:eastAsia="zh-CN"/>
              </w:rPr>
              <w:t>10</w:t>
            </w:r>
            <w:r>
              <w:rPr>
                <w:rFonts w:hint="eastAsia" w:ascii="宋体"/>
                <w:b/>
                <w:color w:val="000000"/>
                <w:sz w:val="20"/>
                <w:szCs w:val="20"/>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bookmarkStart w:id="5" w:name="审核范围"/>
            <w:r>
              <w:rPr>
                <w:rFonts w:hint="eastAsia" w:ascii="宋体"/>
                <w:b/>
                <w:color w:val="000000"/>
                <w:sz w:val="20"/>
                <w:szCs w:val="20"/>
                <w:u w:val="single"/>
              </w:rPr>
              <w:t>钢管脚手架扣件、井盖、井圈、雨水篦子的精密铸造和销售，钢管、法兰、管件的销售</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17.12.05;29.11.04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本次评审的文件只有：企业资质、质量手册、程序文件、管理文件、内审、管理评审、销售/采购合同等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生产技术部、供销部、质检部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6" w:name="生产地址"/>
      <w:r>
        <w:rPr>
          <w:rFonts w:hint="eastAsia" w:ascii="宋体" w:hAnsi="宋体"/>
          <w:b/>
          <w:color w:val="000000"/>
          <w:sz w:val="20"/>
          <w:szCs w:val="20"/>
        </w:rPr>
        <w:t>河北省沧州市孟村回族自治县新县镇南肖庄子工业区</w:t>
      </w:r>
      <w:bookmarkEnd w:id="6"/>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产品：钢管脚手架扣件、井盖、井圈、雨水篦子的精密铸造和销售，钢管、法兰、管件的销售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生产技术部、供销部、质检部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受审核方位于：河北省沧州市孟村回族自治县新县镇南肖庄子工业区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default" w:ascii="宋体" w:hAnsi="宋体" w:eastAsia="宋体"/>
                <w:color w:val="000000"/>
                <w:spacing w:val="-10"/>
                <w:sz w:val="20"/>
                <w:szCs w:val="20"/>
                <w:lang w:val="en-US"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产品技术标准号：GB/T15831--2016</w:t>
            </w:r>
            <w:r>
              <w:rPr>
                <w:rFonts w:hint="eastAsia" w:ascii="宋体" w:hAnsi="宋体"/>
                <w:color w:val="000000"/>
                <w:spacing w:val="-10"/>
                <w:sz w:val="20"/>
                <w:szCs w:val="20"/>
              </w:rPr>
              <w:fldChar w:fldCharType="begin"/>
            </w:r>
            <w:r>
              <w:rPr>
                <w:rFonts w:hint="eastAsia" w:ascii="宋体" w:hAnsi="宋体"/>
                <w:color w:val="000000"/>
                <w:spacing w:val="-10"/>
                <w:sz w:val="20"/>
                <w:szCs w:val="20"/>
              </w:rPr>
              <w:instrText xml:space="preserve"> HYPERLINK "https://www.so.com/link?m=aLlyBgws3bWPuA2VVFQ7pqFDQYqlSiRS1FuvXKRCaHanZMVWik/jzKjN8EdD8YhQ4JkrQDZVzZ0syLzP0tOWjN8OP/k0956Q1FyF0VuL1QXF4Go6Xpeocy/W1d5jFuafQKCTKPRB6wac=" \t "https://www.so.com/_blank" </w:instrText>
            </w:r>
            <w:r>
              <w:rPr>
                <w:rFonts w:hint="eastAsia" w:ascii="宋体" w:hAnsi="宋体"/>
                <w:color w:val="000000"/>
                <w:spacing w:val="-10"/>
                <w:sz w:val="20"/>
                <w:szCs w:val="20"/>
              </w:rPr>
              <w:fldChar w:fldCharType="separate"/>
            </w:r>
            <w:r>
              <w:rPr>
                <w:rFonts w:hint="eastAsia" w:ascii="宋体" w:hAnsi="宋体"/>
                <w:color w:val="000000"/>
                <w:spacing w:val="-10"/>
                <w:sz w:val="20"/>
                <w:szCs w:val="20"/>
              </w:rPr>
              <w:t>GB/T15831-2006钢管脚手架扣件试验机</w:t>
            </w:r>
            <w:r>
              <w:rPr>
                <w:rFonts w:hint="eastAsia" w:ascii="宋体" w:hAnsi="宋体"/>
                <w:color w:val="000000"/>
                <w:spacing w:val="-10"/>
                <w:sz w:val="20"/>
                <w:szCs w:val="20"/>
              </w:rPr>
              <w:fldChar w:fldCharType="end"/>
            </w:r>
            <w:r>
              <w:rPr>
                <w:rFonts w:hint="eastAsia" w:ascii="宋体" w:hAnsi="宋体"/>
                <w:color w:val="000000"/>
                <w:spacing w:val="-10"/>
                <w:sz w:val="20"/>
                <w:szCs w:val="20"/>
                <w:lang w:eastAsia="zh-CN"/>
              </w:rPr>
              <w:t>、GB15831-2006钢管脚手架扣件JGJ231-2010钢管脚手架安全技术规范GB50214-2013组合钢模板技术规范GB/T23858-2009检查井盖</w:t>
            </w:r>
            <w:r>
              <w:rPr>
                <w:rFonts w:hint="eastAsia" w:ascii="宋体" w:hAnsi="宋体"/>
                <w:color w:val="000000"/>
                <w:spacing w:val="-10"/>
                <w:sz w:val="20"/>
                <w:szCs w:val="20"/>
                <w:lang w:val="en-US" w:eastAsia="zh-CN"/>
              </w:rPr>
              <w:t>等</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w:t>
            </w:r>
            <w:r>
              <w:rPr>
                <w:rFonts w:hint="eastAsia" w:ascii="宋体" w:hAnsi="宋体"/>
                <w:spacing w:val="-10"/>
                <w:sz w:val="20"/>
                <w:szCs w:val="20"/>
              </w:rPr>
              <w:t>有产品检验报告</w:t>
            </w:r>
            <w:r>
              <w:rPr>
                <w:rFonts w:hint="eastAsia" w:ascii="宋体" w:hAnsi="宋体"/>
                <w:spacing w:val="-10"/>
                <w:sz w:val="20"/>
                <w:szCs w:val="20"/>
              </w:rPr>
              <w:sym w:font="Wingdings 2" w:char="00A3"/>
            </w:r>
            <w:r>
              <w:rPr>
                <w:rFonts w:hint="eastAsia" w:ascii="宋体" w:hAnsi="宋体"/>
                <w:sz w:val="20"/>
                <w:szCs w:val="20"/>
              </w:rPr>
              <w:t>是</w:t>
            </w:r>
            <w:r>
              <w:rPr>
                <w:rFonts w:hint="eastAsia" w:ascii="宋体" w:hAnsi="宋体"/>
                <w:color w:val="000000"/>
                <w:spacing w:val="-10"/>
                <w:sz w:val="20"/>
                <w:szCs w:val="20"/>
              </w:rPr>
              <w:sym w:font="Wingdings 2" w:char="0052"/>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（部分产品）</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lang w:val="en-US" w:eastAsia="zh-CN"/>
              </w:rPr>
            </w:pPr>
            <w:r>
              <w:rPr>
                <w:rFonts w:hint="eastAsia" w:ascii="宋体"/>
                <w:color w:val="000000"/>
                <w:sz w:val="20"/>
                <w:szCs w:val="20"/>
                <w:lang w:val="en-US" w:eastAsia="zh-CN"/>
              </w:rPr>
              <w:t>销售流程：客户要求—商务洽谈—签订合同—采购—检验—交付—售后服务</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扣件生产流程：</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造型-----熔炼-----浇注----清砂---钻孔--铆接--浸漆--试压（外包）---检验—包装—入库</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井盖、井篦子铸件工艺流程图：</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造型-----熔炼-----浇注----清砂----检验-----入库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关键过程有：</w:t>
            </w:r>
            <w:r>
              <w:rPr>
                <w:rFonts w:hint="eastAsia" w:ascii="宋体"/>
                <w:color w:val="auto"/>
                <w:sz w:val="20"/>
                <w:szCs w:val="20"/>
              </w:rPr>
              <w:t>熔炼</w:t>
            </w:r>
            <w:r>
              <w:rPr>
                <w:rFonts w:hint="eastAsia" w:ascii="宋体"/>
                <w:color w:val="auto"/>
                <w:sz w:val="20"/>
                <w:szCs w:val="20"/>
                <w:lang w:eastAsia="zh-CN"/>
              </w:rPr>
              <w:t>、</w:t>
            </w:r>
            <w:r>
              <w:rPr>
                <w:rFonts w:hint="eastAsia" w:ascii="宋体"/>
                <w:color w:val="auto"/>
                <w:sz w:val="20"/>
                <w:szCs w:val="20"/>
              </w:rPr>
              <w:t>浇注</w:t>
            </w:r>
            <w:r>
              <w:rPr>
                <w:rFonts w:hint="eastAsia" w:ascii="宋体"/>
                <w:color w:val="auto"/>
                <w:sz w:val="20"/>
                <w:szCs w:val="20"/>
                <w:lang w:eastAsia="zh-CN"/>
              </w:rPr>
              <w:t>、</w:t>
            </w:r>
            <w:r>
              <w:rPr>
                <w:rFonts w:hint="eastAsia" w:ascii="宋体"/>
                <w:color w:val="auto"/>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需要确认过程：</w:t>
            </w:r>
            <w:r>
              <w:rPr>
                <w:rFonts w:hint="eastAsia" w:ascii="宋体"/>
                <w:color w:val="auto"/>
                <w:sz w:val="20"/>
                <w:szCs w:val="20"/>
              </w:rPr>
              <w:t>熔炼</w:t>
            </w:r>
            <w:r>
              <w:rPr>
                <w:rFonts w:hint="eastAsia" w:ascii="宋体"/>
                <w:color w:val="auto"/>
                <w:sz w:val="20"/>
                <w:szCs w:val="20"/>
                <w:lang w:eastAsia="zh-CN"/>
              </w:rPr>
              <w:t>、</w:t>
            </w:r>
            <w:r>
              <w:rPr>
                <w:rFonts w:hint="eastAsia" w:ascii="宋体"/>
                <w:color w:val="auto"/>
                <w:sz w:val="20"/>
                <w:szCs w:val="20"/>
              </w:rPr>
              <w:t>浇注</w:t>
            </w:r>
            <w:r>
              <w:rPr>
                <w:rFonts w:hint="eastAsia" w:ascii="宋体"/>
                <w:color w:val="auto"/>
                <w:sz w:val="20"/>
                <w:szCs w:val="20"/>
                <w:lang w:eastAsia="zh-CN"/>
              </w:rPr>
              <w:t>、</w:t>
            </w:r>
            <w:r>
              <w:rPr>
                <w:rFonts w:hint="eastAsia" w:ascii="宋体"/>
                <w:color w:val="auto"/>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外包过程有：钢管脚手架扣件、井盖、井圈、</w:t>
            </w:r>
            <w:bookmarkStart w:id="7" w:name="_GoBack"/>
            <w:bookmarkEnd w:id="7"/>
            <w:r>
              <w:rPr>
                <w:rFonts w:hint="eastAsia" w:ascii="宋体" w:hAnsi="宋体"/>
                <w:color w:val="000000"/>
                <w:sz w:val="20"/>
                <w:szCs w:val="20"/>
              </w:rPr>
              <w:t>雨水篦子的精密铸造试验过程外包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r>
              <w:rPr>
                <w:rFonts w:hint="eastAsia" w:ascii="宋体"/>
                <w:color w:val="000000"/>
                <w:spacing w:val="-10"/>
                <w:sz w:val="20"/>
                <w:szCs w:val="20"/>
              </w:rPr>
              <w:t>外部提供的过程、产品和服务的控制程序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FF"/>
                <w:spacing w:val="-10"/>
                <w:sz w:val="20"/>
                <w:szCs w:val="20"/>
                <w:lang w:val="en-US" w:eastAsia="zh-CN"/>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电炉、全自动造型线、全自动砂处理线、抛丸机、铁水包、射芯机、电炉水循环冷却塔、电炉除尘器、砂处理除尘器等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w:t>
            </w:r>
            <w:r>
              <w:rPr>
                <w:rFonts w:hint="eastAsia" w:ascii="宋体" w:hAnsi="宋体"/>
                <w:color w:val="auto"/>
                <w:sz w:val="20"/>
                <w:szCs w:val="20"/>
              </w:rPr>
              <w:sym w:font="Wingdings 2" w:char="0052"/>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监视和测量设备（请简述主要监视和测量设备）：电炉温度控制器、分析天平、高度卡尺、可见光分度计、游标卡尺、百分表、压力表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生产技术部、质检部</w:t>
            </w:r>
          </w:p>
          <w:p>
            <w:pPr>
              <w:spacing w:line="360" w:lineRule="auto"/>
              <w:rPr>
                <w:rFonts w:ascii="宋体"/>
                <w:b/>
                <w:color w:val="000000"/>
                <w:sz w:val="20"/>
                <w:szCs w:val="20"/>
              </w:rPr>
            </w:pPr>
            <w:r>
              <w:rPr>
                <w:rFonts w:hint="eastAsia" w:ascii="宋体" w:hAnsi="宋体"/>
                <w:b/>
                <w:color w:val="000000"/>
                <w:sz w:val="20"/>
                <w:szCs w:val="20"/>
              </w:rPr>
              <w:t>重点审核过程：服务过程控制、放行控制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策划了目的、范围、</w:t>
            </w:r>
            <w:r>
              <w:rPr>
                <w:rFonts w:hint="eastAsia" w:ascii="宋体" w:hAnsi="宋体"/>
                <w:b/>
                <w:color w:val="000000"/>
                <w:sz w:val="20"/>
                <w:szCs w:val="20"/>
                <w:lang w:val="en-US" w:eastAsia="zh-CN"/>
              </w:rPr>
              <w:t>依据、</w:t>
            </w:r>
            <w:r>
              <w:rPr>
                <w:rFonts w:hint="eastAsia" w:ascii="宋体" w:hAnsi="宋体"/>
                <w:b/>
                <w:color w:val="000000"/>
                <w:sz w:val="20"/>
                <w:szCs w:val="20"/>
              </w:rPr>
              <w:t>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ascii="宋体" w:hAnsi="宋体"/>
                <w:b/>
                <w:color w:val="000000"/>
                <w:sz w:val="20"/>
                <w:szCs w:val="20"/>
                <w:lang w:val="zh-CN"/>
              </w:rPr>
              <w:t>质量管理体系评价：</w:t>
            </w:r>
          </w:p>
          <w:p>
            <w:pPr>
              <w:spacing w:line="260" w:lineRule="exact"/>
              <w:rPr>
                <w:rFonts w:ascii="宋体" w:hAnsi="宋体"/>
                <w:b/>
                <w:color w:val="000000"/>
                <w:sz w:val="20"/>
                <w:szCs w:val="20"/>
              </w:rPr>
            </w:pPr>
            <w:r>
              <w:rPr>
                <w:rFonts w:hint="eastAsia" w:ascii="宋体" w:hAnsi="宋体"/>
                <w:b/>
                <w:color w:val="000000"/>
                <w:sz w:val="20"/>
                <w:szCs w:val="20"/>
                <w:lang w:val="zh-CN"/>
              </w:rPr>
              <w:t>通过本次审核，审核组认为：本公司贯彻实施</w:t>
            </w:r>
            <w:r>
              <w:rPr>
                <w:rFonts w:ascii="宋体" w:hAnsi="宋体"/>
                <w:b/>
                <w:color w:val="000000"/>
                <w:sz w:val="20"/>
                <w:szCs w:val="20"/>
              </w:rPr>
              <w:t>GB/T19001-2016/ISO9001</w:t>
            </w:r>
            <w:r>
              <w:rPr>
                <w:rFonts w:hint="eastAsia" w:ascii="宋体" w:hAnsi="宋体"/>
                <w:b/>
                <w:color w:val="000000"/>
                <w:sz w:val="20"/>
                <w:szCs w:val="20"/>
              </w:rPr>
              <w:t>：</w:t>
            </w:r>
            <w:r>
              <w:rPr>
                <w:rFonts w:ascii="宋体" w:hAnsi="宋体"/>
                <w:b/>
                <w:color w:val="000000"/>
                <w:sz w:val="20"/>
                <w:szCs w:val="20"/>
              </w:rPr>
              <w:t>2015</w:t>
            </w:r>
            <w:r>
              <w:rPr>
                <w:rFonts w:hint="eastAsia" w:ascii="宋体" w:hAnsi="宋体"/>
                <w:b/>
                <w:color w:val="000000"/>
                <w:sz w:val="20"/>
                <w:szCs w:val="20"/>
                <w:lang w:val="zh-CN"/>
              </w:rPr>
              <w:t>标准，自质量管理体系运行以来，本公司总经理、最高管理者等本公司领导能将认证工作列入议事日程，质量体系主控部门和配合部门态度积极，在较短的时间内已初步建立健全了文件的质量管理体系取得了一定的成效。</w:t>
            </w:r>
            <w:r>
              <w:rPr>
                <w:rFonts w:hint="eastAsia" w:ascii="宋体" w:hAnsi="宋体"/>
                <w:b/>
                <w:color w:val="000000"/>
                <w:sz w:val="20"/>
                <w:szCs w:val="20"/>
              </w:rPr>
              <w:t>识别和评审了了公司所处的环境；识别和评审了公司所处的环境；识别和评审了公司质量管理所处的风险和机遇。</w:t>
            </w:r>
          </w:p>
          <w:p>
            <w:pPr>
              <w:spacing w:line="260" w:lineRule="exact"/>
              <w:rPr>
                <w:rFonts w:ascii="宋体" w:hAnsi="宋体"/>
                <w:b/>
                <w:color w:val="000000"/>
                <w:sz w:val="20"/>
                <w:szCs w:val="20"/>
              </w:rPr>
            </w:pPr>
            <w:r>
              <w:rPr>
                <w:rFonts w:hint="eastAsia" w:ascii="宋体" w:hAnsi="宋体"/>
                <w:b/>
                <w:color w:val="000000"/>
                <w:sz w:val="20"/>
                <w:szCs w:val="20"/>
                <w:lang w:val="zh-CN"/>
              </w:rPr>
              <w:t>存在问题：</w:t>
            </w:r>
          </w:p>
          <w:p>
            <w:pPr>
              <w:spacing w:line="260" w:lineRule="exact"/>
              <w:rPr>
                <w:rFonts w:ascii="宋体" w:hAnsi="宋体"/>
                <w:b/>
                <w:color w:val="000000"/>
                <w:sz w:val="20"/>
                <w:szCs w:val="20"/>
                <w:lang w:val="zh-CN"/>
              </w:rPr>
            </w:pPr>
            <w:r>
              <w:rPr>
                <w:rFonts w:hint="eastAsia" w:ascii="宋体" w:hAnsi="宋体"/>
                <w:b/>
                <w:color w:val="000000"/>
                <w:sz w:val="20"/>
                <w:szCs w:val="20"/>
                <w:lang w:val="zh-CN"/>
              </w:rPr>
              <w:t>通过本次审核共发现</w:t>
            </w:r>
            <w:r>
              <w:rPr>
                <w:rFonts w:ascii="宋体" w:hAnsi="宋体"/>
                <w:b/>
                <w:color w:val="000000"/>
                <w:sz w:val="20"/>
                <w:szCs w:val="20"/>
                <w:lang w:val="zh-CN"/>
              </w:rPr>
              <w:t xml:space="preserve">1 </w:t>
            </w:r>
            <w:r>
              <w:rPr>
                <w:rFonts w:hint="eastAsia" w:ascii="宋体" w:hAnsi="宋体"/>
                <w:b/>
                <w:color w:val="000000"/>
                <w:sz w:val="20"/>
                <w:szCs w:val="20"/>
                <w:lang w:val="zh-CN"/>
              </w:rPr>
              <w:t>项不合格，存在问题：</w:t>
            </w:r>
          </w:p>
          <w:p>
            <w:pPr>
              <w:spacing w:line="260" w:lineRule="exact"/>
              <w:rPr>
                <w:rFonts w:ascii="宋体" w:hAnsi="宋体"/>
                <w:b/>
                <w:color w:val="000000"/>
                <w:sz w:val="20"/>
                <w:szCs w:val="20"/>
              </w:rPr>
            </w:pPr>
            <w:r>
              <w:rPr>
                <w:rFonts w:hint="eastAsia" w:ascii="宋体" w:hAnsi="宋体"/>
                <w:b/>
                <w:color w:val="000000"/>
                <w:sz w:val="20"/>
                <w:szCs w:val="20"/>
                <w:lang w:val="zh-CN"/>
              </w:rPr>
              <w:t>（</w:t>
            </w:r>
            <w:r>
              <w:rPr>
                <w:rFonts w:ascii="宋体" w:hAnsi="宋体"/>
                <w:b/>
                <w:color w:val="000000"/>
                <w:sz w:val="20"/>
                <w:szCs w:val="20"/>
              </w:rPr>
              <w:t>1</w:t>
            </w:r>
            <w:r>
              <w:rPr>
                <w:rFonts w:hint="eastAsia" w:ascii="宋体" w:hAnsi="宋体"/>
                <w:b/>
                <w:color w:val="000000"/>
                <w:sz w:val="20"/>
                <w:szCs w:val="20"/>
                <w:lang w:val="zh-CN"/>
              </w:rPr>
              <w:t>）需进一步强化员工，特别是领导对贯彻</w:t>
            </w:r>
            <w:r>
              <w:rPr>
                <w:rFonts w:ascii="宋体" w:hAnsi="宋体"/>
                <w:b/>
                <w:color w:val="000000"/>
                <w:sz w:val="20"/>
                <w:szCs w:val="20"/>
              </w:rPr>
              <w:t>ISO 9001</w:t>
            </w:r>
            <w:r>
              <w:rPr>
                <w:rFonts w:hint="eastAsia" w:ascii="宋体" w:hAnsi="宋体"/>
                <w:b/>
                <w:color w:val="000000"/>
                <w:sz w:val="20"/>
                <w:szCs w:val="20"/>
                <w:lang w:val="zh-CN"/>
              </w:rPr>
              <w:t>：</w:t>
            </w:r>
            <w:r>
              <w:rPr>
                <w:rFonts w:ascii="宋体" w:hAnsi="宋体"/>
                <w:b/>
                <w:color w:val="000000"/>
                <w:sz w:val="20"/>
                <w:szCs w:val="20"/>
              </w:rPr>
              <w:t>2015</w:t>
            </w:r>
            <w:r>
              <w:rPr>
                <w:rFonts w:hint="eastAsia" w:ascii="宋体" w:hAnsi="宋体"/>
                <w:b/>
                <w:color w:val="000000"/>
                <w:sz w:val="20"/>
                <w:szCs w:val="20"/>
                <w:lang w:val="zh-CN"/>
              </w:rPr>
              <w:t>标准，开展质量管理体系认证的认识。（</w:t>
            </w:r>
            <w:r>
              <w:rPr>
                <w:rFonts w:ascii="宋体" w:hAnsi="宋体"/>
                <w:b/>
                <w:color w:val="000000"/>
                <w:sz w:val="20"/>
                <w:szCs w:val="20"/>
              </w:rPr>
              <w:t>2</w:t>
            </w:r>
            <w:r>
              <w:rPr>
                <w:rFonts w:hint="eastAsia" w:ascii="宋体" w:hAnsi="宋体"/>
                <w:b/>
                <w:color w:val="000000"/>
                <w:sz w:val="20"/>
                <w:szCs w:val="20"/>
                <w:lang w:val="zh-CN"/>
              </w:rPr>
              <w:t>）进一步规范质量记录的填写。（</w:t>
            </w:r>
            <w:r>
              <w:rPr>
                <w:rFonts w:ascii="宋体" w:hAnsi="宋体"/>
                <w:b/>
                <w:color w:val="000000"/>
                <w:sz w:val="20"/>
                <w:szCs w:val="20"/>
              </w:rPr>
              <w:t>3</w:t>
            </w:r>
            <w:r>
              <w:rPr>
                <w:rFonts w:hint="eastAsia" w:ascii="宋体" w:hAnsi="宋体"/>
                <w:b/>
                <w:color w:val="000000"/>
                <w:sz w:val="20"/>
                <w:szCs w:val="20"/>
                <w:lang w:val="zh-CN"/>
              </w:rPr>
              <w:t>）要重视纠正措施要求的实施，在质量管理体系运行中，通过纠正和预防措施的制定和实施，建立管理体系不断自我改进、完善的运行机制。（</w:t>
            </w:r>
            <w:r>
              <w:rPr>
                <w:rFonts w:ascii="宋体" w:hAnsi="宋体"/>
                <w:b/>
                <w:color w:val="000000"/>
                <w:sz w:val="20"/>
                <w:szCs w:val="20"/>
                <w:lang w:val="zh-CN"/>
              </w:rPr>
              <w:t>4</w:t>
            </w:r>
            <w:r>
              <w:rPr>
                <w:rFonts w:hint="eastAsia" w:ascii="宋体" w:hAnsi="宋体"/>
                <w:b/>
                <w:color w:val="000000"/>
                <w:sz w:val="20"/>
                <w:szCs w:val="20"/>
                <w:lang w:val="zh-CN"/>
              </w:rPr>
              <w:t>）进一步加强现场管理工作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范围、</w:t>
            </w:r>
            <w:r>
              <w:rPr>
                <w:rFonts w:hint="eastAsia" w:ascii="宋体" w:hAnsi="宋体"/>
                <w:b/>
                <w:color w:val="000000"/>
                <w:sz w:val="20"/>
                <w:szCs w:val="20"/>
              </w:rPr>
              <w:t>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color w:val="000000"/>
                <w:sz w:val="20"/>
                <w:szCs w:val="20"/>
                <w:lang w:val="zh-CN"/>
              </w:rPr>
            </w:pPr>
            <w:r>
              <w:rPr>
                <w:rFonts w:ascii="宋体" w:hAnsi="宋体"/>
                <w:b/>
                <w:color w:val="000000"/>
                <w:sz w:val="20"/>
                <w:szCs w:val="20"/>
              </w:rPr>
              <w:t>1</w:t>
            </w:r>
            <w:r>
              <w:rPr>
                <w:rFonts w:hint="eastAsia" w:ascii="宋体" w:hAnsi="宋体"/>
                <w:b/>
                <w:color w:val="000000"/>
                <w:sz w:val="20"/>
                <w:szCs w:val="20"/>
                <w:lang w:val="zh-CN"/>
              </w:rPr>
              <w:t>、质量方针、质量目标是基本适宜的；</w:t>
            </w:r>
          </w:p>
          <w:p>
            <w:pPr>
              <w:spacing w:line="260" w:lineRule="exact"/>
              <w:rPr>
                <w:rFonts w:ascii="宋体" w:hAnsi="宋体"/>
                <w:b/>
                <w:color w:val="000000"/>
                <w:sz w:val="20"/>
                <w:szCs w:val="20"/>
              </w:rPr>
            </w:pPr>
            <w:r>
              <w:rPr>
                <w:rFonts w:ascii="宋体" w:hAnsi="宋体"/>
                <w:b/>
                <w:color w:val="000000"/>
                <w:sz w:val="20"/>
                <w:szCs w:val="20"/>
              </w:rPr>
              <w:t>2</w:t>
            </w:r>
            <w:r>
              <w:rPr>
                <w:rFonts w:hint="eastAsia" w:ascii="宋体" w:hAnsi="宋体"/>
                <w:b/>
                <w:color w:val="000000"/>
                <w:sz w:val="20"/>
                <w:szCs w:val="20"/>
                <w:lang w:val="zh-CN"/>
              </w:rPr>
              <w:t>、质量管理体系的有效运行对方针、目标的实现是适宜、充分、有效的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6</w:t>
      </w:r>
      <w:r>
        <w:rPr>
          <w:rFonts w:hint="eastAsia" w:ascii="宋体" w:hAnsi="宋体"/>
          <w:b/>
          <w:color w:val="000000"/>
        </w:rPr>
        <w:t>月</w:t>
      </w:r>
      <w:r>
        <w:rPr>
          <w:rFonts w:hint="eastAsia" w:ascii="宋体" w:hAnsi="宋体"/>
          <w:b/>
          <w:color w:val="000000"/>
          <w:lang w:val="en-US" w:eastAsia="zh-CN"/>
        </w:rPr>
        <w:t>5</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5"/>
        <w:pBdr>
          <w:bottom w:val="none" w:color="auto" w:sz="0" w:space="0"/>
        </w:pBdr>
        <w:ind w:right="600" w:firstLine="660"/>
        <w:rPr>
          <w:rFonts w:eastAsia="隶书"/>
          <w:color w:val="000000"/>
          <w:sz w:val="32"/>
          <w:szCs w:val="32"/>
        </w:rPr>
      </w:pPr>
    </w:p>
    <w:p>
      <w:pPr>
        <w:pStyle w:val="5"/>
        <w:pBdr>
          <w:bottom w:val="none" w:color="auto" w:sz="0" w:space="0"/>
        </w:pBdr>
        <w:ind w:right="600"/>
        <w:jc w:val="both"/>
        <w:rPr>
          <w:rFonts w:eastAsia="隶书"/>
          <w:color w:val="000000"/>
          <w:sz w:val="32"/>
          <w:szCs w:val="32"/>
        </w:rPr>
      </w:pPr>
    </w:p>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7724F"/>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E07729"/>
    <w:rsid w:val="0A77202E"/>
    <w:rsid w:val="0BCF29C8"/>
    <w:rsid w:val="0F535AED"/>
    <w:rsid w:val="10274B12"/>
    <w:rsid w:val="16FD3349"/>
    <w:rsid w:val="1C102D09"/>
    <w:rsid w:val="1CD5576A"/>
    <w:rsid w:val="1D094279"/>
    <w:rsid w:val="21A13CEC"/>
    <w:rsid w:val="25220C07"/>
    <w:rsid w:val="271F5230"/>
    <w:rsid w:val="30A64288"/>
    <w:rsid w:val="351118A0"/>
    <w:rsid w:val="356E7D10"/>
    <w:rsid w:val="39D31C8D"/>
    <w:rsid w:val="3BEA2605"/>
    <w:rsid w:val="3DBD0DBF"/>
    <w:rsid w:val="42C741CF"/>
    <w:rsid w:val="438D3972"/>
    <w:rsid w:val="49916B26"/>
    <w:rsid w:val="4E7F1263"/>
    <w:rsid w:val="5009288E"/>
    <w:rsid w:val="52584BEE"/>
    <w:rsid w:val="53E040A8"/>
    <w:rsid w:val="57FE21D9"/>
    <w:rsid w:val="58BD5222"/>
    <w:rsid w:val="5DB7256F"/>
    <w:rsid w:val="62362907"/>
    <w:rsid w:val="64D05DA3"/>
    <w:rsid w:val="69CA6789"/>
    <w:rsid w:val="6A5F6C3E"/>
    <w:rsid w:val="6BB34483"/>
    <w:rsid w:val="6E3043BF"/>
    <w:rsid w:val="6F740BA1"/>
    <w:rsid w:val="75A05C2D"/>
    <w:rsid w:val="771A3D80"/>
    <w:rsid w:val="78707BF7"/>
    <w:rsid w:val="7F9276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Char"/>
    <w:link w:val="5"/>
    <w:qFormat/>
    <w:locked/>
    <w:uiPriority w:val="99"/>
    <w:rPr>
      <w:rFonts w:ascii="Calibri" w:hAnsi="Calibri" w:eastAsia="宋体" w:cs="Times New Roman"/>
      <w:sz w:val="18"/>
      <w:szCs w:val="18"/>
    </w:rPr>
  </w:style>
  <w:style w:type="character" w:customStyle="1" w:styleId="12">
    <w:name w:val="批注框文本 Char"/>
    <w:link w:val="3"/>
    <w:semiHidden/>
    <w:qFormat/>
    <w:locked/>
    <w:uiPriority w:val="99"/>
    <w:rPr>
      <w:rFonts w:ascii="Times New Roman" w:hAnsi="Times New Roman" w:eastAsia="宋体" w:cs="Times New Roman"/>
      <w:sz w:val="18"/>
      <w:szCs w:val="18"/>
    </w:rPr>
  </w:style>
  <w:style w:type="character" w:customStyle="1" w:styleId="13">
    <w:name w:val="页脚 Char"/>
    <w:link w:val="4"/>
    <w:qFormat/>
    <w:locked/>
    <w:uiPriority w:val="99"/>
    <w:rPr>
      <w:rFonts w:ascii="Times New Roman" w:hAnsi="Times New Roman"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0</TotalTime>
  <ScaleCrop>false</ScaleCrop>
  <LinksUpToDate>false</LinksUpToDate>
  <CharactersWithSpaces>7156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2020-08-03T03:23:25Z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