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20606-2024-FH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广东奔源科技发展有限公司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91440101MA59NLQ45J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广东奔源科技发展有限公司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佛山市南海区狮山镇吴屋村吴东地段厂房自编2号（住所申报）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佛山市南海区狮山镇吴屋村吴东地段厂房自编2号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F：位于佛山市南海区狮山镇吴屋村吴东地段厂房自编2号广东奔源科技发展有限公司生产车间的固体饮料(果蔬固体饮料、茶固体饮料、植物固体饮料)、破壁植物性干粉的生产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H：位于佛山市南海区狮山镇吴屋村吴东地段厂房自编2号广东奔源科技发展有限公司生产车间的固体饮料(果蔬固体饮料、茶固体饮料、植物固体饮料)、破壁植物性干粉的生产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广东奔源科技发展有限公司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佛山市南海区狮山镇吴屋村吴东地段厂房自编2号（住所申报）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佛山市南海区狮山镇吴屋村吴东地段厂房自编2号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F：位于佛山市南海区狮山镇吴屋村吴东地段厂房自编2号广东奔源科技发展有限公司生产车间的固体饮料(果蔬固体饮料、茶固体饮料、植物固体饮料)、破壁植物性干粉的生产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H：位于佛山市南海区狮山镇吴屋村吴东地段厂房自编2号广东奔源科技发展有限公司生产车间的固体饮料(果蔬固体饮料、茶固体饮料、植物固体饮料)、破壁植物性干粉的生产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