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34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保定京阳立津线缆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0日 上午至2024年08月2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