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0382-2019-Q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山西国风机电科技有限公司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81"/>
        <w:gridCol w:w="313"/>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9"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2"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81" w:type="dxa"/>
            <w:vAlign w:val="center"/>
          </w:tcPr>
          <w:p>
            <w:pPr>
              <w:rPr>
                <w:b/>
                <w:color w:val="000000"/>
                <w:sz w:val="20"/>
                <w:szCs w:val="20"/>
              </w:rPr>
            </w:pPr>
            <w:r>
              <w:rPr>
                <w:rFonts w:hint="eastAsia"/>
                <w:b/>
                <w:color w:val="000000"/>
                <w:sz w:val="20"/>
                <w:szCs w:val="20"/>
              </w:rPr>
              <w:t>邮箱</w:t>
            </w:r>
          </w:p>
        </w:tc>
        <w:tc>
          <w:tcPr>
            <w:tcW w:w="2492"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张艳新</w:t>
            </w:r>
          </w:p>
        </w:tc>
        <w:tc>
          <w:tcPr>
            <w:tcW w:w="851" w:type="dxa"/>
            <w:gridSpan w:val="2"/>
            <w:vAlign w:val="center"/>
          </w:tcPr>
          <w:p>
            <w:pPr>
              <w:rPr>
                <w:rFonts w:hint="eastAsia" w:eastAsia="宋体"/>
                <w:b/>
                <w:color w:val="000000"/>
                <w:lang w:val="en-US" w:eastAsia="zh-CN"/>
              </w:rPr>
            </w:pPr>
            <w:r>
              <w:rPr>
                <w:rFonts w:hint="eastAsia"/>
                <w:b/>
                <w:color w:val="000000"/>
                <w:lang w:val="en-US" w:eastAsia="zh-CN"/>
              </w:rPr>
              <w:t>男</w:t>
            </w:r>
          </w:p>
        </w:tc>
        <w:tc>
          <w:tcPr>
            <w:tcW w:w="1417" w:type="dxa"/>
            <w:gridSpan w:val="2"/>
            <w:vAlign w:val="center"/>
          </w:tcPr>
          <w:p>
            <w:pPr>
              <w:rPr>
                <w:rFonts w:hint="eastAsia" w:eastAsia="宋体"/>
                <w:b/>
                <w:color w:val="000000"/>
                <w:lang w:val="en-US" w:eastAsia="zh-CN"/>
              </w:rPr>
            </w:pPr>
            <w:r>
              <w:rPr>
                <w:rFonts w:hint="eastAsia"/>
                <w:b/>
                <w:color w:val="000000"/>
                <w:lang w:val="en-US" w:eastAsia="zh-CN"/>
              </w:rPr>
              <w:t>向导</w:t>
            </w:r>
          </w:p>
        </w:tc>
        <w:tc>
          <w:tcPr>
            <w:tcW w:w="3402" w:type="dxa"/>
            <w:gridSpan w:val="4"/>
            <w:vAlign w:val="center"/>
          </w:tcPr>
          <w:p>
            <w:pPr>
              <w:rPr>
                <w:b/>
                <w:color w:val="000000"/>
              </w:rPr>
            </w:pPr>
            <w:r>
              <w:rPr>
                <w:sz w:val="21"/>
                <w:szCs w:val="21"/>
              </w:rPr>
              <w:t>山西国风机电科技有限公司</w:t>
            </w: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6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山西国风机电科技有限公司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太原市尖草坪区阳曲镇阳曲村广立工业园南院内东</w:t>
            </w:r>
            <w:bookmarkEnd w:id="10"/>
          </w:p>
        </w:tc>
        <w:tc>
          <w:tcPr>
            <w:tcW w:w="964"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36" w:type="dxa"/>
            <w:vAlign w:val="center"/>
          </w:tcPr>
          <w:p>
            <w:pPr>
              <w:spacing w:line="280" w:lineRule="exact"/>
              <w:jc w:val="center"/>
              <w:rPr>
                <w:rFonts w:ascii="宋体"/>
                <w:b/>
                <w:color w:val="000000"/>
                <w:sz w:val="20"/>
                <w:szCs w:val="20"/>
              </w:rPr>
            </w:pPr>
            <w:bookmarkStart w:id="11" w:name="注册邮编"/>
            <w:r>
              <w:rPr>
                <w:rFonts w:ascii="宋体"/>
                <w:b/>
                <w:color w:val="000000"/>
                <w:sz w:val="20"/>
                <w:szCs w:val="20"/>
              </w:rPr>
              <w:t>030008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color w:val="000000"/>
                <w:sz w:val="20"/>
                <w:szCs w:val="20"/>
              </w:rPr>
            </w:pPr>
            <w:bookmarkStart w:id="12" w:name="经营地址"/>
            <w:bookmarkEnd w:id="12"/>
            <w:r>
              <w:rPr>
                <w:rFonts w:ascii="宋体"/>
                <w:b/>
                <w:color w:val="000000"/>
                <w:sz w:val="20"/>
                <w:szCs w:val="20"/>
              </w:rPr>
              <w:t>太原市尖草坪区阳曲镇阳曲村广立工业园南院内东</w:t>
            </w:r>
          </w:p>
        </w:tc>
        <w:tc>
          <w:tcPr>
            <w:tcW w:w="964" w:type="dxa"/>
            <w:vMerge w:val="continue"/>
            <w:vAlign w:val="center"/>
          </w:tcPr>
          <w:p>
            <w:pPr>
              <w:spacing w:line="280" w:lineRule="exact"/>
              <w:jc w:val="center"/>
              <w:rPr>
                <w:rFonts w:ascii="宋体"/>
                <w:b/>
                <w:color w:val="000000"/>
                <w:sz w:val="20"/>
                <w:szCs w:val="20"/>
              </w:rPr>
            </w:pPr>
          </w:p>
        </w:tc>
        <w:tc>
          <w:tcPr>
            <w:tcW w:w="1836" w:type="dxa"/>
            <w:vAlign w:val="center"/>
          </w:tcPr>
          <w:p>
            <w:pPr>
              <w:spacing w:line="280" w:lineRule="exact"/>
              <w:jc w:val="center"/>
              <w:rPr>
                <w:rFonts w:ascii="宋体"/>
                <w:b/>
                <w:color w:val="000000"/>
                <w:sz w:val="20"/>
                <w:szCs w:val="20"/>
              </w:rPr>
            </w:pPr>
            <w:bookmarkStart w:id="13" w:name="经营邮编"/>
            <w:bookmarkEnd w:id="13"/>
            <w:r>
              <w:rPr>
                <w:rFonts w:ascii="宋体"/>
                <w:b/>
                <w:color w:val="000000"/>
                <w:sz w:val="20"/>
                <w:szCs w:val="20"/>
              </w:rPr>
              <w:t>030008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ascii="宋体"/>
                <w:b/>
                <w:color w:val="000000"/>
                <w:sz w:val="20"/>
                <w:szCs w:val="20"/>
              </w:rPr>
            </w:pPr>
            <w:bookmarkStart w:id="14" w:name="生产地址Add1"/>
            <w:r>
              <w:rPr>
                <w:rFonts w:ascii="宋体"/>
                <w:b/>
                <w:color w:val="000000"/>
                <w:sz w:val="20"/>
                <w:szCs w:val="20"/>
              </w:rPr>
              <w:t>太原市尖草坪区阳曲镇阳曲村广立工业园南院内东</w:t>
            </w:r>
            <w:bookmarkEnd w:id="14"/>
          </w:p>
        </w:tc>
        <w:tc>
          <w:tcPr>
            <w:tcW w:w="964" w:type="dxa"/>
            <w:vMerge w:val="continue"/>
            <w:vAlign w:val="center"/>
          </w:tcPr>
          <w:p>
            <w:pPr>
              <w:spacing w:line="280" w:lineRule="exact"/>
              <w:jc w:val="center"/>
              <w:rPr>
                <w:rFonts w:ascii="宋体"/>
                <w:b/>
                <w:color w:val="000000"/>
                <w:sz w:val="20"/>
                <w:szCs w:val="20"/>
              </w:rPr>
            </w:pPr>
          </w:p>
        </w:tc>
        <w:tc>
          <w:tcPr>
            <w:tcW w:w="1836" w:type="dxa"/>
            <w:vAlign w:val="center"/>
          </w:tcPr>
          <w:p>
            <w:pPr>
              <w:spacing w:line="280" w:lineRule="exact"/>
              <w:jc w:val="center"/>
              <w:rPr>
                <w:rFonts w:ascii="宋体"/>
                <w:b/>
                <w:color w:val="000000"/>
                <w:sz w:val="20"/>
                <w:szCs w:val="20"/>
              </w:rPr>
            </w:pPr>
            <w:bookmarkStart w:id="15" w:name="生产邮编Add1"/>
            <w:r>
              <w:rPr>
                <w:rFonts w:ascii="宋体"/>
                <w:b/>
                <w:color w:val="000000"/>
                <w:sz w:val="20"/>
                <w:szCs w:val="20"/>
              </w:rPr>
              <w:t>030008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6" w:name="联系人Add1"/>
            <w:r>
              <w:rPr>
                <w:rFonts w:ascii="宋体"/>
                <w:b/>
                <w:color w:val="000000"/>
                <w:sz w:val="20"/>
                <w:szCs w:val="20"/>
              </w:rPr>
              <w:t>刘振国</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15931831518</w:t>
            </w:r>
            <w:bookmarkEnd w:id="17"/>
          </w:p>
        </w:tc>
        <w:tc>
          <w:tcPr>
            <w:tcW w:w="96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36" w:type="dxa"/>
            <w:vAlign w:val="center"/>
          </w:tcPr>
          <w:p>
            <w:pPr>
              <w:spacing w:line="280" w:lineRule="exact"/>
              <w:jc w:val="center"/>
              <w:rPr>
                <w:rFonts w:ascii="宋体"/>
                <w:b/>
                <w:color w:val="000000"/>
                <w:sz w:val="20"/>
                <w:szCs w:val="20"/>
              </w:rPr>
            </w:pPr>
            <w:bookmarkStart w:id="18" w:name="联系人传真Add1"/>
            <w:bookmarkEnd w:id="18"/>
            <w:r>
              <w:rPr>
                <w:rFonts w:hint="eastAsia"/>
                <w:sz w:val="21"/>
                <w:szCs w:val="21"/>
                <w:lang w:val="en-US" w:eastAsia="zh-CN"/>
              </w:rPr>
              <w:t>0351-8200211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刘振国</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刘振国</w:t>
            </w:r>
            <w:bookmarkEnd w:id="20"/>
          </w:p>
        </w:tc>
        <w:tc>
          <w:tcPr>
            <w:tcW w:w="964" w:type="dxa"/>
            <w:vAlign w:val="center"/>
          </w:tcPr>
          <w:p>
            <w:pPr>
              <w:jc w:val="center"/>
              <w:rPr>
                <w:rFonts w:ascii="宋体"/>
                <w:b/>
                <w:color w:val="000000"/>
                <w:sz w:val="20"/>
                <w:szCs w:val="20"/>
              </w:rPr>
            </w:pPr>
            <w:r>
              <w:rPr>
                <w:rFonts w:hint="eastAsia" w:ascii="宋体"/>
                <w:b/>
                <w:color w:val="000000"/>
                <w:sz w:val="20"/>
                <w:szCs w:val="20"/>
              </w:rPr>
              <w:t>邮箱</w:t>
            </w:r>
          </w:p>
        </w:tc>
        <w:tc>
          <w:tcPr>
            <w:tcW w:w="1836" w:type="dxa"/>
            <w:vAlign w:val="center"/>
          </w:tcPr>
          <w:p>
            <w:pPr>
              <w:jc w:val="both"/>
              <w:rPr>
                <w:rFonts w:ascii="宋体"/>
                <w:b/>
                <w:color w:val="000000"/>
                <w:sz w:val="20"/>
                <w:szCs w:val="20"/>
              </w:rPr>
            </w:pPr>
            <w:bookmarkStart w:id="21" w:name="联系人邮箱Add1"/>
            <w:bookmarkEnd w:id="21"/>
            <w:r>
              <w:rPr>
                <w:rFonts w:hint="eastAsia"/>
                <w:sz w:val="21"/>
                <w:szCs w:val="21"/>
                <w:lang w:val="en-US" w:eastAsia="zh-CN"/>
              </w:rPr>
              <w:t>hbbrls2018@163.com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风机、工业除尘器、废气处理设备、通风设备、机电设备（不含小轿车）的销售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spacing w:line="280" w:lineRule="exact"/>
              <w:rPr>
                <w:rFonts w:hint="default" w:ascii="宋体" w:eastAsia="宋体"/>
                <w:b/>
                <w:color w:val="000000"/>
                <w:sz w:val="20"/>
                <w:szCs w:val="20"/>
                <w:lang w:val="en-US" w:eastAsia="zh-CN"/>
              </w:rPr>
            </w:pPr>
            <w:r>
              <w:rPr>
                <w:rFonts w:ascii="宋体"/>
                <w:b/>
                <w:color w:val="000000"/>
                <w:sz w:val="20"/>
                <w:szCs w:val="20"/>
              </w:rPr>
              <w:t>太原市尖草坪区阳曲镇阳曲村广立工业园南院内东</w:t>
            </w:r>
            <w:r>
              <w:rPr>
                <w:rFonts w:hint="eastAsia" w:ascii="宋体"/>
                <w:b/>
                <w:color w:val="000000"/>
                <w:sz w:val="20"/>
                <w:szCs w:val="20"/>
                <w:lang w:eastAsia="zh-CN"/>
              </w:rPr>
              <w:t>，</w:t>
            </w:r>
            <w:r>
              <w:rPr>
                <w:rFonts w:hint="eastAsia" w:ascii="宋体"/>
                <w:b/>
                <w:color w:val="000000"/>
                <w:sz w:val="20"/>
                <w:szCs w:val="20"/>
                <w:lang w:val="en-US" w:eastAsia="zh-CN"/>
              </w:rPr>
              <w:t>无分场所/临时场所</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质量手册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jc w:val="left"/>
              <w:rPr>
                <w:rFonts w:ascii="宋体"/>
                <w:b/>
                <w:color w:val="000000"/>
                <w:sz w:val="20"/>
                <w:szCs w:val="20"/>
              </w:rPr>
            </w:pPr>
            <w:r>
              <w:rPr>
                <w:sz w:val="21"/>
                <w:szCs w:val="21"/>
              </w:rPr>
              <w:t>风机、工业除尘器、废气处理设备、通风设备、机电设备（不含小轿车）的销售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rPr>
                <w:sz w:val="21"/>
                <w:szCs w:val="21"/>
              </w:rPr>
              <w:t>太原市尖草坪区阳曲镇阳曲村广立工业园南院内东</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sz w:val="21"/>
                <w:szCs w:val="21"/>
              </w:rPr>
              <w:t>太原市尖草坪区阳曲镇阳曲村广立工业园南院内东</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JB/T10563-2006、GB/T1236-2017</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jc w:val="both"/>
              <w:rPr>
                <w:rFonts w:ascii="宋体"/>
                <w:color w:val="000000"/>
                <w:sz w:val="20"/>
                <w:szCs w:val="20"/>
              </w:rPr>
            </w:pPr>
            <w:r>
              <w:rPr>
                <w:rFonts w:hint="eastAsia" w:ascii="宋体" w:hAnsi="宋体" w:cs="Times New Roman"/>
                <w:color w:val="000000"/>
                <w:sz w:val="20"/>
                <w:szCs w:val="20"/>
              </w:rPr>
              <w:t>确定顾客需求—业务洽谈—服务要求评审—签订合同—组织货源—产品交付—结算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采购、业务洽谈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Times New Roman" w:hAnsi="Times New Roman"/>
                <w:sz w:val="21"/>
                <w:szCs w:val="21"/>
                <w:lang w:val="en-US" w:eastAsia="zh-CN"/>
              </w:rPr>
              <w:t>采购流程与制度》、《销售服务规范》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imes New Roman" w:hAnsi="Times New Roman"/>
                <w:sz w:val="21"/>
                <w:szCs w:val="21"/>
                <w:lang w:val="en-US" w:eastAsia="zh-CN"/>
              </w:rPr>
              <w:t>电脑、汽车、笔记本、打印机、传真机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办公区域面积</w:t>
            </w:r>
            <w:r>
              <w:rPr>
                <w:rFonts w:hint="eastAsia"/>
                <w:sz w:val="21"/>
                <w:szCs w:val="21"/>
                <w:lang w:val="en-US" w:eastAsia="zh-CN"/>
              </w:rPr>
              <w:t>150平米；库房500平米，</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hint="eastAsia" w:ascii="宋体" w:hAnsi="宋体"/>
          <w:b/>
          <w:color w:val="000000"/>
          <w:sz w:val="26"/>
          <w:szCs w:val="26"/>
        </w:rPr>
      </w:pPr>
    </w:p>
    <w:p>
      <w:pPr>
        <w:spacing w:before="156" w:beforeLines="50" w:line="360" w:lineRule="exact"/>
        <w:ind w:left="522" w:hanging="522" w:hangingChars="200"/>
        <w:rPr>
          <w:rFonts w:hint="eastAsia" w:ascii="宋体" w:hAnsi="宋体"/>
          <w:b/>
          <w:color w:val="000000"/>
          <w:sz w:val="26"/>
          <w:szCs w:val="26"/>
        </w:rPr>
      </w:pPr>
    </w:p>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Times New Roman" w:hAnsi="Times New Roman" w:cs="Times New Roman"/>
                <w:szCs w:val="21"/>
                <w:lang w:val="en-US" w:eastAsia="zh-CN"/>
              </w:rPr>
            </w:pPr>
            <w:r>
              <w:rPr>
                <w:rFonts w:hint="eastAsia" w:ascii="宋体" w:hAnsi="宋体"/>
                <w:b/>
                <w:color w:val="000000"/>
                <w:sz w:val="20"/>
                <w:szCs w:val="20"/>
              </w:rPr>
              <w:t>重点审核部门：</w:t>
            </w:r>
            <w:r>
              <w:rPr>
                <w:rFonts w:hint="eastAsia" w:ascii="Times New Roman" w:hAnsi="Times New Roman" w:cs="Times New Roman"/>
                <w:szCs w:val="21"/>
                <w:lang w:val="en-US" w:eastAsia="zh-CN"/>
              </w:rPr>
              <w:t>办公室、供销部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szCs w:val="21"/>
              </w:rPr>
              <w:t>外部提供过程、产品和服务</w:t>
            </w:r>
            <w:r>
              <w:rPr>
                <w:rFonts w:hint="eastAsia"/>
                <w:szCs w:val="21"/>
                <w:lang w:eastAsia="zh-CN"/>
              </w:rPr>
              <w:t>；</w:t>
            </w:r>
            <w:r>
              <w:rPr>
                <w:rFonts w:hint="eastAsia"/>
                <w:szCs w:val="21"/>
              </w:rPr>
              <w:t>产品和服务的要求</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r>
              <w:rPr>
                <w:rFonts w:ascii="宋体" w:hAnsi="宋体"/>
                <w:b w:val="0"/>
                <w:bCs/>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10" w:firstLineChars="100"/>
        <w:rPr>
          <w:rFonts w:ascii="宋体"/>
          <w:b/>
          <w:color w:val="000000"/>
          <w:sz w:val="20"/>
          <w:szCs w:val="20"/>
        </w:rPr>
      </w:pPr>
      <w:r>
        <w:rPr>
          <w:sz w:val="21"/>
          <w:szCs w:val="21"/>
        </w:rPr>
        <w:t>风机、工业除尘器、废气处理设备、通风设备、机电设备（不含小轿车）的销售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w:t>
      </w:r>
    </w:p>
    <w:p>
      <w:pPr>
        <w:spacing w:line="300" w:lineRule="auto"/>
        <w:ind w:firstLine="201" w:firstLineChars="100"/>
        <w:rPr>
          <w:rFonts w:ascii="宋体"/>
          <w:b/>
          <w:color w:val="000000"/>
          <w:sz w:val="20"/>
          <w:szCs w:val="20"/>
          <w:u w:val="single"/>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吉洁</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2019.8.15</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602"/>
        <w:gridCol w:w="27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6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7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4602"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1"/>
                <w:szCs w:val="21"/>
                <w:lang w:val="en-US" w:eastAsia="zh-CN"/>
              </w:rPr>
              <w:t>识别的外包过程不符</w:t>
            </w:r>
          </w:p>
        </w:tc>
        <w:tc>
          <w:tcPr>
            <w:tcW w:w="2767" w:type="dxa"/>
            <w:vAlign w:val="center"/>
          </w:tcPr>
          <w:p>
            <w:pPr>
              <w:pStyle w:val="4"/>
              <w:pBdr>
                <w:bottom w:val="none" w:color="auto" w:sz="0" w:space="0"/>
              </w:pBdr>
              <w:ind w:right="600" w:rightChars="0"/>
              <w:jc w:val="both"/>
              <w:rPr>
                <w:color w:val="000000"/>
                <w:sz w:val="32"/>
                <w:szCs w:val="32"/>
              </w:rPr>
            </w:pPr>
            <w:r>
              <w:rPr>
                <w:rFonts w:hint="eastAsia"/>
                <w:color w:val="000000"/>
                <w:sz w:val="21"/>
                <w:szCs w:val="21"/>
                <w:lang w:val="en-US" w:eastAsia="zh-CN"/>
              </w:rPr>
              <w:t>GB/T19001-2016</w:t>
            </w:r>
          </w:p>
        </w:tc>
        <w:tc>
          <w:tcPr>
            <w:tcW w:w="1811" w:type="dxa"/>
            <w:vAlign w:val="center"/>
          </w:tcPr>
          <w:p>
            <w:pPr>
              <w:pStyle w:val="4"/>
              <w:pBdr>
                <w:bottom w:val="none" w:color="auto" w:sz="0" w:space="0"/>
              </w:pBdr>
              <w:ind w:right="600" w:rightChars="0"/>
              <w:jc w:val="both"/>
              <w:rPr>
                <w:color w:val="000000"/>
                <w:sz w:val="32"/>
                <w:szCs w:val="32"/>
              </w:rPr>
            </w:pPr>
            <w:r>
              <w:rPr>
                <w:rFonts w:hint="eastAsia"/>
                <w:color w:val="000000"/>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4602"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1"/>
                <w:szCs w:val="21"/>
                <w:lang w:val="en-US" w:eastAsia="zh-CN"/>
              </w:rPr>
              <w:t>识别的特殊过程不符</w:t>
            </w:r>
          </w:p>
        </w:tc>
        <w:tc>
          <w:tcPr>
            <w:tcW w:w="2767" w:type="dxa"/>
            <w:vAlign w:val="center"/>
          </w:tcPr>
          <w:p>
            <w:pPr>
              <w:pStyle w:val="4"/>
              <w:pBdr>
                <w:bottom w:val="none" w:color="auto" w:sz="0" w:space="0"/>
              </w:pBdr>
              <w:ind w:right="600" w:rightChars="0"/>
              <w:jc w:val="both"/>
              <w:rPr>
                <w:color w:val="000000"/>
                <w:sz w:val="32"/>
                <w:szCs w:val="32"/>
              </w:rPr>
            </w:pPr>
            <w:r>
              <w:rPr>
                <w:rFonts w:hint="eastAsia"/>
                <w:color w:val="000000"/>
                <w:sz w:val="21"/>
                <w:szCs w:val="21"/>
                <w:lang w:val="en-US" w:eastAsia="zh-CN"/>
              </w:rPr>
              <w:t>GB/T19001-2016</w:t>
            </w:r>
          </w:p>
        </w:tc>
        <w:tc>
          <w:tcPr>
            <w:tcW w:w="1811" w:type="dxa"/>
            <w:vAlign w:val="center"/>
          </w:tcPr>
          <w:p>
            <w:pPr>
              <w:pStyle w:val="4"/>
              <w:pBdr>
                <w:bottom w:val="none" w:color="auto" w:sz="0" w:space="0"/>
              </w:pBdr>
              <w:ind w:right="600" w:rightChars="0"/>
              <w:jc w:val="both"/>
              <w:rPr>
                <w:color w:val="000000"/>
                <w:sz w:val="32"/>
                <w:szCs w:val="32"/>
              </w:rPr>
            </w:pPr>
            <w:r>
              <w:rPr>
                <w:rFonts w:hint="eastAsia"/>
                <w:color w:val="000000"/>
                <w:sz w:val="21"/>
                <w:szCs w:val="21"/>
                <w:lang w:val="en-US" w:eastAsia="zh-CN"/>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02" w:type="dxa"/>
            <w:vAlign w:val="center"/>
          </w:tcPr>
          <w:p>
            <w:pPr>
              <w:pStyle w:val="4"/>
              <w:pBdr>
                <w:bottom w:val="none" w:color="auto" w:sz="0" w:space="0"/>
              </w:pBdr>
              <w:tabs>
                <w:tab w:val="center" w:pos="5737"/>
                <w:tab w:val="clear" w:pos="4153"/>
              </w:tabs>
              <w:jc w:val="both"/>
              <w:rPr>
                <w:color w:val="000000"/>
                <w:sz w:val="24"/>
                <w:szCs w:val="24"/>
              </w:rPr>
            </w:pPr>
          </w:p>
        </w:tc>
        <w:tc>
          <w:tcPr>
            <w:tcW w:w="27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02" w:type="dxa"/>
            <w:vAlign w:val="center"/>
          </w:tcPr>
          <w:p>
            <w:pPr>
              <w:pStyle w:val="4"/>
              <w:pBdr>
                <w:bottom w:val="none" w:color="auto" w:sz="0" w:space="0"/>
              </w:pBdr>
              <w:tabs>
                <w:tab w:val="center" w:pos="5737"/>
                <w:tab w:val="clear" w:pos="4153"/>
              </w:tabs>
              <w:jc w:val="both"/>
              <w:rPr>
                <w:color w:val="000000"/>
                <w:sz w:val="24"/>
                <w:szCs w:val="24"/>
              </w:rPr>
            </w:pPr>
          </w:p>
        </w:tc>
        <w:tc>
          <w:tcPr>
            <w:tcW w:w="27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02" w:type="dxa"/>
            <w:vAlign w:val="center"/>
          </w:tcPr>
          <w:p>
            <w:pPr>
              <w:pStyle w:val="4"/>
              <w:pBdr>
                <w:bottom w:val="none" w:color="auto" w:sz="0" w:space="0"/>
              </w:pBdr>
              <w:tabs>
                <w:tab w:val="center" w:pos="5737"/>
                <w:tab w:val="clear" w:pos="4153"/>
              </w:tabs>
              <w:jc w:val="both"/>
              <w:rPr>
                <w:color w:val="000000"/>
                <w:sz w:val="24"/>
                <w:szCs w:val="24"/>
              </w:rPr>
            </w:pPr>
          </w:p>
        </w:tc>
        <w:tc>
          <w:tcPr>
            <w:tcW w:w="27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bookmarkStart w:id="25" w:name="_GoBack"/>
            <w:bookmarkEnd w:id="25"/>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 xml:space="preserve">日期：    年   月   </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keepNext w:val="0"/>
              <w:keepLines w:val="0"/>
              <w:pageBreakBefore w:val="0"/>
              <w:widowControl w:val="0"/>
              <w:kinsoku/>
              <w:wordWrap/>
              <w:overflowPunct/>
              <w:topLinePunct w:val="0"/>
              <w:autoSpaceDE/>
              <w:autoSpaceDN/>
              <w:bidi w:val="0"/>
              <w:adjustRightInd/>
              <w:snapToGrid/>
              <w:spacing w:line="360" w:lineRule="exact"/>
              <w:ind w:firstLine="95" w:firstLineChars="50"/>
              <w:textAlignment w:val="auto"/>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keepNext w:val="0"/>
              <w:keepLines w:val="0"/>
              <w:pageBreakBefore w:val="0"/>
              <w:widowControl w:val="0"/>
              <w:tabs>
                <w:tab w:val="left" w:pos="8740"/>
              </w:tabs>
              <w:kinsoku/>
              <w:wordWrap/>
              <w:overflowPunct/>
              <w:topLinePunct w:val="0"/>
              <w:autoSpaceDE/>
              <w:autoSpaceDN/>
              <w:bidi w:val="0"/>
              <w:adjustRightInd/>
              <w:snapToGrid/>
              <w:spacing w:line="360" w:lineRule="exact"/>
              <w:textAlignment w:val="auto"/>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9A7B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2019-08-16T04:57:04Z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