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20586-2024-EI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江西蓝天路之友环卫设备科技有限公司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91360703081450627H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江西蓝天路之友环卫设备科技有限公司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卫设备（垃圾压缩设备、电动环卫斗车、垃圾箱、电动环卫车、垃圾分类设备设施、大件垃圾破碎设备、餐厨垃圾处理设备）的销售；垃圾分类服务运营、餐厨垃圾厨余垃圾服务运营，城市生活垃圾经营性清扫、收集、运输服务；公厕保洁及粪便清运服务；城市道路清洁、清扫和垃圾收集清运服务，园林绿化养护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江西蓝天路之友环卫设备科技有限公司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江西省赣州开发区宝福路以西工业一路以东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卫设备（垃圾压缩设备、电动环卫斗车、垃圾箱、电动环卫车、垃圾分类设备设施、大件垃圾破碎设备、餐厨垃圾处理设备）的销售；垃圾分类服务运营、餐厨垃圾厨余垃圾服务运营，城市生活垃圾经营性清扫、收集、运输服务；公厕保洁及粪便清运服务；城市道路清洁、清扫和垃圾收集清运服务，园林绿化养护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