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0022-2018-2020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大庆元山油田技术服务有限公司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质量工艺部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提供的标准中，未能提供出产品标准《封隔器和桥塞，API SPEC 11D1》的《勘误1》标准，企业未能对现行标准是否有效全面识别。不符合GB/T19022-2003标准中 6.2.1条款“制定新的程序或更改现有的程序应经授权批准并受控。程序应现行有效，需要时可获得和提供。”的规定要求。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19022-2003标准的6.2.1条款 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DA7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2020-05-30T01:53:59Z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