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275"/>
        <w:gridCol w:w="1284"/>
        <w:gridCol w:w="567"/>
        <w:gridCol w:w="691"/>
        <w:gridCol w:w="727"/>
        <w:gridCol w:w="425"/>
        <w:gridCol w:w="425"/>
        <w:gridCol w:w="125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成都绿净鲜餐饮有限公司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96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0228-2020-QEO</w:t>
            </w:r>
            <w:bookmarkEnd w:id="1"/>
          </w:p>
        </w:tc>
        <w:tc>
          <w:tcPr>
            <w:tcW w:w="12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6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马学洋</w:t>
            </w:r>
            <w:bookmarkEnd w:id="5"/>
          </w:p>
        </w:tc>
        <w:tc>
          <w:tcPr>
            <w:tcW w:w="12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18231875050</w:t>
            </w:r>
            <w:bookmarkEnd w:id="6"/>
          </w:p>
        </w:tc>
        <w:tc>
          <w:tcPr>
            <w:tcW w:w="115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68" w:type="dxa"/>
            <w:gridSpan w:val="5"/>
            <w:vAlign w:val="center"/>
          </w:tcPr>
          <w:p>
            <w:bookmarkStart w:id="8" w:name="最高管理者"/>
            <w:bookmarkEnd w:id="8"/>
          </w:p>
        </w:tc>
        <w:tc>
          <w:tcPr>
            <w:tcW w:w="12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258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152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Q：许可范围内的预包装食品（不含冷藏冷冻食品）的销售</w:t>
            </w:r>
          </w:p>
          <w:p>
            <w:r>
              <w:t>E：许可范围内的预包装食品（不含冷藏冷冻食品）的销售所涉及场所的相关环境管理活动</w:t>
            </w:r>
          </w:p>
          <w:p>
            <w:r>
              <w:t>O：许可范围内的预包装食品（不含冷藏冷冻食品）的销售所涉及场所的相关职业健康安全管理活动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Q：29.07.09</w:t>
            </w:r>
          </w:p>
          <w:p>
            <w:r>
              <w:t>E：29.07.09</w:t>
            </w:r>
          </w:p>
          <w:p>
            <w:r>
              <w:t>O：29.07.09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2020年06月01日 上午至2020年06月01日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54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54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O:29.07.09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54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O:29.07.09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254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54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54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杨珍全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13883847833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5.31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2020.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5.31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2020.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5.31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tbl>
            <w:tblPr>
              <w:tblStyle w:val="5"/>
              <w:tblpPr w:leftFromText="180" w:rightFromText="180" w:vertAnchor="text" w:horzAnchor="page" w:tblpX="1114" w:tblpY="3"/>
              <w:tblOverlap w:val="never"/>
              <w:tblW w:w="103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1"/>
              <w:gridCol w:w="1505"/>
              <w:gridCol w:w="6665"/>
              <w:gridCol w:w="119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01" w:hRule="atLeast"/>
              </w:trPr>
              <w:tc>
                <w:tcPr>
                  <w:tcW w:w="10377" w:type="dxa"/>
                  <w:gridSpan w:val="4"/>
                  <w:tcBorders>
                    <w:top w:val="single" w:color="auto" w:sz="8" w:space="0"/>
                    <w:left w:val="single" w:color="auto" w:sz="8" w:space="0"/>
                    <w:bottom w:val="nil"/>
                    <w:right w:val="single" w:color="auto" w:sz="8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b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sz w:val="21"/>
                      <w:szCs w:val="21"/>
                    </w:rPr>
                    <w:t>审核日程安排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6" w:hRule="atLeast"/>
              </w:trPr>
              <w:tc>
                <w:tcPr>
                  <w:tcW w:w="1011" w:type="dxa"/>
                  <w:tcBorders>
                    <w:left w:val="single" w:color="auto" w:sz="8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b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sz w:val="21"/>
                      <w:szCs w:val="21"/>
                    </w:rPr>
                    <w:t>日期</w:t>
                  </w:r>
                </w:p>
              </w:tc>
              <w:tc>
                <w:tcPr>
                  <w:tcW w:w="1505" w:type="dxa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b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sz w:val="21"/>
                      <w:szCs w:val="21"/>
                    </w:rPr>
                    <w:t>时间</w:t>
                  </w:r>
                </w:p>
              </w:tc>
              <w:tc>
                <w:tcPr>
                  <w:tcW w:w="6665" w:type="dxa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b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sz w:val="21"/>
                      <w:szCs w:val="21"/>
                    </w:rPr>
                    <w:t>受审核部门、场所及审核内容</w:t>
                  </w:r>
                </w:p>
              </w:tc>
              <w:tc>
                <w:tcPr>
                  <w:tcW w:w="1196" w:type="dxa"/>
                  <w:tcBorders>
                    <w:right w:val="single" w:color="auto" w:sz="8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b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sz w:val="21"/>
                      <w:szCs w:val="21"/>
                    </w:rPr>
                    <w:t>审核人员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5" w:hRule="atLeast"/>
              </w:trPr>
              <w:tc>
                <w:tcPr>
                  <w:tcW w:w="1011" w:type="dxa"/>
                  <w:vMerge w:val="restart"/>
                  <w:tcBorders>
                    <w:left w:val="single" w:color="auto" w:sz="8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eastAsia="宋体" w:cs="宋体"/>
                      <w:b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sz w:val="21"/>
                      <w:szCs w:val="21"/>
                      <w:lang w:val="en-US" w:eastAsia="zh-CN"/>
                    </w:rPr>
                    <w:t>6</w:t>
                  </w:r>
                </w:p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 w:hAnsi="宋体" w:cs="宋体"/>
                      <w:b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sz w:val="21"/>
                      <w:szCs w:val="21"/>
                    </w:rPr>
                    <w:t>月</w:t>
                  </w:r>
                </w:p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eastAsia="宋体" w:cs="宋体"/>
                      <w:b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sz w:val="21"/>
                      <w:szCs w:val="21"/>
                      <w:lang w:val="en-US" w:eastAsia="zh-CN"/>
                    </w:rPr>
                    <w:t>1</w:t>
                  </w:r>
                </w:p>
                <w:p>
                  <w:pPr>
                    <w:snapToGrid w:val="0"/>
                    <w:spacing w:line="280" w:lineRule="exact"/>
                    <w:jc w:val="center"/>
                    <w:rPr>
                      <w:b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1505" w:type="dxa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b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sz w:val="21"/>
                      <w:szCs w:val="21"/>
                    </w:rPr>
                    <w:t>8：00-8:30</w:t>
                  </w:r>
                </w:p>
              </w:tc>
              <w:tc>
                <w:tcPr>
                  <w:tcW w:w="6665" w:type="dxa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b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sz w:val="21"/>
                      <w:szCs w:val="21"/>
                    </w:rPr>
                    <w:t>首次会议</w:t>
                  </w:r>
                </w:p>
              </w:tc>
              <w:tc>
                <w:tcPr>
                  <w:tcW w:w="1196" w:type="dxa"/>
                  <w:tcBorders>
                    <w:right w:val="single" w:color="auto" w:sz="8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rFonts w:hint="eastAsia" w:eastAsia="宋体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b/>
                      <w:sz w:val="21"/>
                      <w:szCs w:val="21"/>
                    </w:rPr>
                    <w:t>杨珍全、文平</w:t>
                  </w:r>
                  <w:r>
                    <w:rPr>
                      <w:rFonts w:hint="eastAsia"/>
                      <w:b/>
                      <w:sz w:val="21"/>
                      <w:szCs w:val="21"/>
                      <w:lang w:eastAsia="zh-CN"/>
                    </w:rPr>
                    <w:t>、张心、余家龙、陈伟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27" w:hRule="atLeast"/>
              </w:trPr>
              <w:tc>
                <w:tcPr>
                  <w:tcW w:w="1011" w:type="dxa"/>
                  <w:vMerge w:val="continue"/>
                  <w:tcBorders>
                    <w:left w:val="single" w:color="auto" w:sz="8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505" w:type="dxa"/>
                  <w:vMerge w:val="restart"/>
                </w:tcPr>
                <w:p>
                  <w:pPr>
                    <w:snapToGrid w:val="0"/>
                    <w:spacing w:line="280" w:lineRule="exact"/>
                    <w:rPr>
                      <w:b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sz w:val="21"/>
                      <w:szCs w:val="21"/>
                    </w:rPr>
                    <w:t>8：30-11：30</w:t>
                  </w:r>
                </w:p>
                <w:p>
                  <w:pPr>
                    <w:snapToGrid w:val="0"/>
                    <w:spacing w:line="280" w:lineRule="exact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665" w:type="dxa"/>
                  <w:vAlign w:val="center"/>
                </w:tcPr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      </w:r>
                </w:p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 对管理体系绩效要求有重大影响的过程、活动、场所和现场运行进行观察、巡视及总体性评价，初步确认与成文件息的一致性。</w:t>
                  </w:r>
                </w:p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3.评价所建立的管理体系文件与审核准则和认证要求的符合性</w:t>
                  </w:r>
                  <w:r>
                    <w:rPr>
                      <w:sz w:val="21"/>
                      <w:szCs w:val="21"/>
                    </w:rPr>
                    <w:t>/</w:t>
                  </w:r>
                  <w:r>
                    <w:rPr>
                      <w:rFonts w:hint="eastAsia"/>
                      <w:sz w:val="21"/>
                      <w:szCs w:val="21"/>
                    </w:rPr>
                    <w:t>适宜性；</w:t>
                  </w:r>
                </w:p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4.了解、收集、确认和核实受审核方相关信息以及相关法律法规的执行情况</w:t>
                  </w:r>
                </w:p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（重点是法律位证明文件、经营许可资质/资格、强制性标准执行情况）；</w:t>
                  </w:r>
                </w:p>
                <w:p>
                  <w:pPr>
                    <w:rPr>
                      <w:b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5.了解、确认体系覆盖的活动内容和范围，删减的合理性，体系覆盖范围内有效人数、过程和场所，及其与成文信息的一致性；</w:t>
                  </w:r>
                </w:p>
              </w:tc>
              <w:tc>
                <w:tcPr>
                  <w:tcW w:w="1196" w:type="dxa"/>
                  <w:tcBorders>
                    <w:right w:val="single" w:color="auto" w:sz="8" w:space="0"/>
                  </w:tcBorders>
                </w:tcPr>
                <w:p>
                  <w:pPr>
                    <w:snapToGrid w:val="0"/>
                    <w:spacing w:line="280" w:lineRule="exact"/>
                    <w:rPr>
                      <w:rFonts w:hint="eastAsia" w:eastAsia="宋体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b/>
                      <w:sz w:val="21"/>
                      <w:szCs w:val="21"/>
                    </w:rPr>
                    <w:t>文平</w:t>
                  </w:r>
                  <w:r>
                    <w:rPr>
                      <w:rFonts w:hint="eastAsia"/>
                      <w:b/>
                      <w:sz w:val="21"/>
                      <w:szCs w:val="21"/>
                      <w:lang w:eastAsia="zh-CN"/>
                    </w:rPr>
                    <w:t>、余家龙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533" w:hRule="atLeast"/>
              </w:trPr>
              <w:tc>
                <w:tcPr>
                  <w:tcW w:w="1011" w:type="dxa"/>
                  <w:vMerge w:val="continue"/>
                  <w:tcBorders>
                    <w:left w:val="single" w:color="auto" w:sz="8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505" w:type="dxa"/>
                  <w:vMerge w:val="continue"/>
                </w:tcPr>
                <w:p>
                  <w:pPr>
                    <w:snapToGrid w:val="0"/>
                    <w:spacing w:line="280" w:lineRule="exact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665" w:type="dxa"/>
                  <w:vAlign w:val="center"/>
                </w:tcPr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6.确认方针、目标的制定与实施状况；</w:t>
                  </w:r>
                </w:p>
                <w:p>
                  <w:pPr>
                    <w:rPr>
                      <w:b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      </w:r>
                </w:p>
              </w:tc>
              <w:tc>
                <w:tcPr>
                  <w:tcW w:w="1196" w:type="dxa"/>
                  <w:tcBorders>
                    <w:right w:val="single" w:color="auto" w:sz="8" w:space="0"/>
                  </w:tcBorders>
                </w:tcPr>
                <w:p>
                  <w:pPr>
                    <w:snapToGrid w:val="0"/>
                    <w:spacing w:line="280" w:lineRule="exact"/>
                    <w:rPr>
                      <w:rFonts w:hint="eastAsia" w:eastAsia="宋体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b/>
                      <w:sz w:val="21"/>
                      <w:szCs w:val="21"/>
                      <w:lang w:eastAsia="zh-CN"/>
                    </w:rPr>
                    <w:t>张心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851" w:hRule="atLeast"/>
              </w:trPr>
              <w:tc>
                <w:tcPr>
                  <w:tcW w:w="1011" w:type="dxa"/>
                  <w:vMerge w:val="continue"/>
                  <w:tcBorders>
                    <w:left w:val="single" w:color="auto" w:sz="8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505" w:type="dxa"/>
                  <w:vMerge w:val="continue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665" w:type="dxa"/>
                  <w:vAlign w:val="center"/>
                </w:tcPr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8.了解为第二阶段审核所需资源的配置情况；</w:t>
                  </w:r>
                </w:p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9.确定管理层二阶段审核的重点。</w:t>
                  </w:r>
                </w:p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10.确认体系策划部门是否按要求建立、实施、保持并持续改进了体系。</w:t>
                  </w:r>
                </w:p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      </w:r>
                </w:p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12.适用法律法规、技术标准识别的充分性，收集合规性的证据。</w:t>
                  </w:r>
                </w:p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13.核实、确认受审核方各相关部门提供的相关信息（重点是资质、资格、产品范围、人数、规模、场所等）。</w:t>
                  </w:r>
                </w:p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14.</w:t>
                  </w:r>
                  <w:r>
                    <w:rPr>
                      <w:sz w:val="21"/>
                      <w:szCs w:val="21"/>
                    </w:rPr>
                    <w:t>对生产设备、环保设备、特种设备及监视测量设备的现场巡视了解</w:t>
                  </w:r>
                  <w:r>
                    <w:rPr>
                      <w:rFonts w:hint="eastAsia"/>
                      <w:sz w:val="21"/>
                      <w:szCs w:val="21"/>
                    </w:rPr>
                    <w:t>和确认。</w:t>
                  </w:r>
                </w:p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15.了解</w:t>
                  </w:r>
                  <w:r>
                    <w:rPr>
                      <w:sz w:val="21"/>
                      <w:szCs w:val="21"/>
                    </w:rPr>
                    <w:t>环境因素和危险源的识别、评价等控制情况</w:t>
                  </w:r>
                  <w:r>
                    <w:rPr>
                      <w:rFonts w:hint="eastAsia"/>
                      <w:sz w:val="21"/>
                      <w:szCs w:val="21"/>
                    </w:rPr>
                    <w:t>。</w:t>
                  </w:r>
                </w:p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16.</w:t>
                  </w:r>
                  <w:r>
                    <w:rPr>
                      <w:sz w:val="21"/>
                      <w:szCs w:val="21"/>
                    </w:rPr>
                    <w:t>了解对合规性及应急预案等情况的</w:t>
                  </w:r>
                  <w:r>
                    <w:rPr>
                      <w:rFonts w:hint="eastAsia"/>
                      <w:sz w:val="21"/>
                      <w:szCs w:val="21"/>
                    </w:rPr>
                    <w:t>执行</w:t>
                  </w:r>
                  <w:r>
                    <w:rPr>
                      <w:sz w:val="21"/>
                      <w:szCs w:val="21"/>
                    </w:rPr>
                    <w:t>。</w:t>
                  </w:r>
                </w:p>
                <w:p>
                  <w:pPr>
                    <w:snapToGrid w:val="0"/>
                    <w:spacing w:line="280" w:lineRule="exact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17.结合目标确定体系推动部门第二阶段重要审核点。</w:t>
                  </w:r>
                </w:p>
              </w:tc>
              <w:tc>
                <w:tcPr>
                  <w:tcW w:w="1196" w:type="dxa"/>
                  <w:tcBorders>
                    <w:right w:val="single" w:color="auto" w:sz="8" w:space="0"/>
                  </w:tcBorders>
                </w:tcPr>
                <w:p>
                  <w:pPr>
                    <w:snapToGrid w:val="0"/>
                    <w:spacing w:line="280" w:lineRule="exact"/>
                    <w:rPr>
                      <w:rFonts w:hint="eastAsia" w:eastAsia="宋体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b/>
                      <w:sz w:val="21"/>
                      <w:szCs w:val="21"/>
                    </w:rPr>
                    <w:t>杨珍全</w:t>
                  </w:r>
                  <w:r>
                    <w:rPr>
                      <w:rFonts w:hint="eastAsia"/>
                      <w:b/>
                      <w:sz w:val="21"/>
                      <w:szCs w:val="21"/>
                      <w:lang w:eastAsia="zh-CN"/>
                    </w:rPr>
                    <w:t>、陈伟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415" w:hRule="atLeast"/>
              </w:trPr>
              <w:tc>
                <w:tcPr>
                  <w:tcW w:w="1011" w:type="dxa"/>
                  <w:vMerge w:val="continue"/>
                  <w:tcBorders>
                    <w:left w:val="single" w:color="auto" w:sz="8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505" w:type="dxa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b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sz w:val="21"/>
                      <w:szCs w:val="21"/>
                    </w:rPr>
                    <w:t>11：30-12：00</w:t>
                  </w:r>
                </w:p>
              </w:tc>
              <w:tc>
                <w:tcPr>
                  <w:tcW w:w="6665" w:type="dxa"/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b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末次会议</w:t>
                  </w:r>
                </w:p>
              </w:tc>
              <w:tc>
                <w:tcPr>
                  <w:tcW w:w="1196" w:type="dxa"/>
                  <w:tcBorders>
                    <w:right w:val="single" w:color="auto" w:sz="8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left"/>
                    <w:rPr>
                      <w:b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sz w:val="21"/>
                      <w:szCs w:val="21"/>
                    </w:rPr>
                    <w:t>杨珍全、文平</w:t>
                  </w:r>
                  <w:r>
                    <w:rPr>
                      <w:rFonts w:hint="eastAsia"/>
                      <w:b/>
                      <w:sz w:val="21"/>
                      <w:szCs w:val="21"/>
                      <w:lang w:eastAsia="zh-CN"/>
                    </w:rPr>
                    <w:t>、张心、余家龙、陈伟</w:t>
                  </w:r>
                  <w:bookmarkStart w:id="14" w:name="_GoBack"/>
                  <w:bookmarkEnd w:id="14"/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b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2625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2020-05-29T08:25:31Z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