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河北嘉一药业有限公司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91130133398952772D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河北嘉一药业有限公司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赵县南柏舍镇生物产业园兴园路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赵县南柏舍镇生物产业园兴园路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Q：医药中间体（吡喹酮合成中间体）、资质范围内吡喹酮、伊维菌素的生产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E：医药中间体（吡喹酮合成中间体）、资质范围内吡喹酮、伊维菌素的生产所涉及场所的相关环境管理活动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O：医药中间体（吡喹酮合成中间体）、资质范围内吡喹酮、伊维菌素的生产所涉及场所的相关职业健康安全管理活动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河北嘉一药业有限公司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赵县南柏舍镇生物产业园兴园路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赵县南柏舍镇生物产业园兴园路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Q：医药中间体（吡喹酮合成中间体）、资质范围内吡喹酮、伊维菌素的生产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E：医药中间体（吡喹酮合成中间体）、资质范围内吡喹酮、伊维菌素的生产所涉及场所的相关环境管理活动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O：医药中间体（吡喹酮合成中间体）、资质范围内吡喹酮、伊维菌素的生产所涉及场所的相关职业健康安全管理活动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