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61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9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管理层、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生产部、质检部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总经理李恒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厂长杨如春    管理者代表：王歌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王志慧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2020年5月27-28日</w:t>
            </w:r>
          </w:p>
        </w:tc>
        <w:tc>
          <w:tcPr>
            <w:tcW w:w="62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略</w:t>
            </w:r>
          </w:p>
        </w:tc>
        <w:tc>
          <w:tcPr>
            <w:tcW w:w="62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管理体系运行时间（3 个月以上）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确认组织实际与管理体系文件化信息描述的一致性</w:t>
            </w: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Q/E/S: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面谈人员：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总经理李恒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厂长杨如春   管代：王歌 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陕西圣瑞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家具有限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公司是一家集销售和生产为一体的高新技术企业，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从事钢、木家具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（架子床、公寓床、屏风工作位、餐桌、电脑桌、文件柜、课桌椅、排椅、办公桌椅、休闲桌椅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）的生产及销售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为客户提供量身订做的服务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企业营业执照在有效期内，认证范围在营业范围内。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确认受审核方的管理体系范围为：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钢、木家具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（架子床、公寓床、屏风工作位、餐桌、电脑桌、文件柜、课桌椅、排椅、办公桌椅、休闲桌椅）的生产及销售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钢、木家具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（架子床、公寓床、屏风工作位、餐桌、电脑桌、文件柜、课桌椅、排椅、办公桌椅、休闲桌椅）的生产及销售所涉及场所的相关职业健康安全管理活动</w:t>
            </w:r>
            <w:bookmarkEnd w:id="0"/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查体系运行时间：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管理体系运行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已经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3个月以上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组织实际与管理体系文件化信息描述基本一致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有管理层、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生产部、质检部。 </w:t>
            </w: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查，管理体系文件名称：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</w:rPr>
              <w:t>质量手册，程序文件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lang w:val="en-US" w:eastAsia="zh-CN"/>
              </w:rPr>
              <w:t>等，基本符合要求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</w:rPr>
              <w:t>。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Q/E/S:5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.1;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.2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受审核方已经制定管理、安全方针，具体包含在《管理手册》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满意，质量第一。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遵守法规，安全第一。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按照标准要求制订的方针，并介绍了方针的含义，对体系知识的学习还需加强。管理评审对质量、职业健康安全方针的适宜性作了评审，判定适宜，适合公司的发展需求。管理、环境和职业健康安全方针符合标准要求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公司对管理体系所需的相关职能、层次和过程设定管理目标。</w:t>
            </w:r>
          </w:p>
          <w:tbl>
            <w:tblPr>
              <w:tblStyle w:val="6"/>
              <w:tblW w:w="699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  <w:gridCol w:w="2430"/>
              <w:gridCol w:w="35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" w:hRule="atLeast"/>
              </w:trPr>
              <w:tc>
                <w:tcPr>
                  <w:tcW w:w="990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部门</w:t>
                  </w:r>
                </w:p>
              </w:tc>
              <w:tc>
                <w:tcPr>
                  <w:tcW w:w="2430" w:type="dxa"/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目标</w:t>
                  </w:r>
                </w:p>
              </w:tc>
              <w:tc>
                <w:tcPr>
                  <w:tcW w:w="3570" w:type="dxa"/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2020年第一季度达成情况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990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公司目标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成品一次交验合格率≥100%</w:t>
                  </w:r>
                </w:p>
              </w:tc>
              <w:tc>
                <w:tcPr>
                  <w:tcW w:w="3570" w:type="dxa"/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990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及时交付率100%</w:t>
                  </w:r>
                </w:p>
              </w:tc>
              <w:tc>
                <w:tcPr>
                  <w:tcW w:w="3570" w:type="dxa"/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990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顾客满意度≥85分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93分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990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噪声、废气达标排放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达标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990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人身伤害事故为0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990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火灾事故为零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目标可测量，与公司管理方针一致。公司管理目标考核要求统计考核公司管理目标完成情况，提交管理评审会议。针对重大危险源制订了管理方案并予以实施，基本有效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二阶段详查。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内部审核：</w:t>
            </w: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Q/E/S:9.2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见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内部审核控制程序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有《内审计划》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审核日期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年0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组长：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王歌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  组员：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王凯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，参加过内审员培训，有《培训记录》；有首末次会议《签到表》；有各部门《内审检查表》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覆盖全部门，共发现不符合项1项，业务部，为一般不符合：霸州市万通金属制品有限公司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 评价记录未能提供。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有《内审报告》，结论：体系基本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标准要求，运行基本正常；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Q/E/S:9.3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查看《管理评审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程序》，基本符合要求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。20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公司会议室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进行了管理评审。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查看 “管理评审计划”，内容包括；评审目的、评审时间、参加部门人员、评审输入内容等。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评审输入:包括组织的战略方向、与质量、环境、职业健康安全管理体系相关的内外部因素的变化，顾客满意和相关方的反馈，目标的实现情况，监视和测量结果，内部审核结果，外部供方的绩效，资源的充分性，应对风险和机遇所采取的措施，重要环境因素，重要危险源，合规义务履行情况，事件调查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纠正和预防措施，改进的机会等。管理评审的输入基本充分。查到各部门汇报材料，管理评审输出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看了“管理评审报告”，对公司体系文件的符合性，国家、地方及行业相关法规、标准的执行情况，风险和机遇的应对情况，产品管理情况，内审实施情况、相关方投诉情况、管理目标完成情况、管理体系的适宜性、有效性、充分性做出了评价。评审结论：公司的管理体系是适宜、充分和有效的，达到了顾客满意和持续改进的目的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提出了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项改进措施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实施中。管理评审的策划及实施符合要求。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、陕西省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环境保护条例、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陕西省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消防条例、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陕西省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安全生产条例、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陕西省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重大危险源监督管理规定、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陕西省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工伤保险实施办法等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产品执行标准：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GB/T 3325-2008《金属家具通用技术条件》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GB/T 3324-2017《木家具通用技术条件》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有，见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月进行了合规性评价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报告。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见员工体检报告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无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工艺流程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5M1E策划控制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外包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不可接受风险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应急管理</w:t>
            </w:r>
          </w:p>
        </w:tc>
        <w:tc>
          <w:tcPr>
            <w:tcW w:w="960" w:type="dxa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1.工艺流程：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钢、木家具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：饰面人造板→下料→排孔→封边→（+钢制件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焊接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）→组装→成品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特殊过程：封边、焊接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管控措施：见特殊过程确认记录，见钢、木家具生产工艺文件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关键过程：封边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管控措施：见钢、木家具生产工艺文件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3、生产设备：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推台锯、排钻机、焊机、木工砂光机、封边机、修边机、喷枪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等，基本满足要求。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4、检测仪器：游标卡尺、钢卷尺等，基本满足检测要求。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5、编制了《原材料检验规范》、《生产过程检验规范》、《成品检验规范》、《设备管理制度》、《设备操作规程》等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6、相关法律法规要求《安全生产法》、《产品质量法》、《合同法》、《计量法》等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7、产品执行标准：GB/T 3325-2008《金属家具通用技术条件》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GB/T 3324-2017《木家具通用技术条件》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无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火灾、触电、噪音、机械伤害、粉尘等。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有《应急准备和响应控制程序》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触电预案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》、《火灾紧急预案》、《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意外伤害预案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》、《疫情防控预案》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近一年没有发生火灾或未遂事件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《消防应急演练》；于20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-1-1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进行了火灾演练，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全体人员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参加；有《演练记录》总结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预案基本合理，不需要修订。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特殊工种人员</w:t>
            </w:r>
          </w:p>
        </w:tc>
        <w:tc>
          <w:tcPr>
            <w:tcW w:w="960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焊工，查焊工证。见附件</w:t>
            </w:r>
          </w:p>
        </w:tc>
        <w:tc>
          <w:tcPr>
            <w:tcW w:w="628" w:type="dxa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安全设施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无特种设备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消防栓、灭火器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若干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配电箱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无异常</w:t>
            </w:r>
          </w:p>
        </w:tc>
        <w:tc>
          <w:tcPr>
            <w:tcW w:w="628" w:type="dxa"/>
            <w:vMerge w:val="restart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顾客及相关方投诉</w:t>
            </w:r>
          </w:p>
        </w:tc>
        <w:tc>
          <w:tcPr>
            <w:tcW w:w="96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6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暂无</w:t>
            </w:r>
          </w:p>
        </w:tc>
        <w:tc>
          <w:tcPr>
            <w:tcW w:w="62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tab w:relativeTo="margin" w:alignment="center" w:leader="none"/>
      </w:r>
    </w:p>
    <w:p>
      <w:pPr>
        <w:pStyle w:val="4"/>
      </w:pPr>
      <w:r>
        <w:rPr>
          <w:rFonts w:hint="eastAsia" w:asciiTheme="minorEastAsia" w:hAnsiTheme="minorEastAsia" w:eastAsiaTheme="minorEastAsia" w:cstheme="minor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11D81"/>
    <w:rsid w:val="07C97D22"/>
    <w:rsid w:val="0B187A94"/>
    <w:rsid w:val="0F024CDF"/>
    <w:rsid w:val="1179397B"/>
    <w:rsid w:val="12F323FA"/>
    <w:rsid w:val="138A3420"/>
    <w:rsid w:val="14844E87"/>
    <w:rsid w:val="148B1C7B"/>
    <w:rsid w:val="193E1109"/>
    <w:rsid w:val="1DBD42C1"/>
    <w:rsid w:val="1E2B3E1B"/>
    <w:rsid w:val="1F86587E"/>
    <w:rsid w:val="24A87ADA"/>
    <w:rsid w:val="24E1043F"/>
    <w:rsid w:val="292948B0"/>
    <w:rsid w:val="29FA6ED5"/>
    <w:rsid w:val="2A8A4033"/>
    <w:rsid w:val="2AB26BEC"/>
    <w:rsid w:val="2B212CFC"/>
    <w:rsid w:val="2FEC7204"/>
    <w:rsid w:val="34D603A8"/>
    <w:rsid w:val="359E738F"/>
    <w:rsid w:val="367F4108"/>
    <w:rsid w:val="3BD539A8"/>
    <w:rsid w:val="3E1B719E"/>
    <w:rsid w:val="3FE45AE5"/>
    <w:rsid w:val="408C4F0B"/>
    <w:rsid w:val="42A0740C"/>
    <w:rsid w:val="43BA47EE"/>
    <w:rsid w:val="47E859B6"/>
    <w:rsid w:val="4B0A1AAC"/>
    <w:rsid w:val="501B790F"/>
    <w:rsid w:val="526E348F"/>
    <w:rsid w:val="52DE1CB1"/>
    <w:rsid w:val="557432C9"/>
    <w:rsid w:val="57913531"/>
    <w:rsid w:val="5D920653"/>
    <w:rsid w:val="5E1B124A"/>
    <w:rsid w:val="600A4F55"/>
    <w:rsid w:val="60EF7C2C"/>
    <w:rsid w:val="612C65ED"/>
    <w:rsid w:val="62107842"/>
    <w:rsid w:val="62D232D6"/>
    <w:rsid w:val="62F57E66"/>
    <w:rsid w:val="64CE3CFC"/>
    <w:rsid w:val="66AC2624"/>
    <w:rsid w:val="685758ED"/>
    <w:rsid w:val="689A339A"/>
    <w:rsid w:val="6ADA0964"/>
    <w:rsid w:val="6E6715AF"/>
    <w:rsid w:val="724520ED"/>
    <w:rsid w:val="7573003A"/>
    <w:rsid w:val="75D22DC8"/>
    <w:rsid w:val="7692734C"/>
    <w:rsid w:val="77021D8D"/>
    <w:rsid w:val="78126349"/>
    <w:rsid w:val="79563A9C"/>
    <w:rsid w:val="796A7A0E"/>
    <w:rsid w:val="7B4015DB"/>
    <w:rsid w:val="7D282D71"/>
    <w:rsid w:val="7E026DCA"/>
    <w:rsid w:val="7EA72D39"/>
    <w:rsid w:val="7F8D7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2020-06-20T09:10:20Z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