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长春吉龙专用材料有限公司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20529-2023-2024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20529-2023-2024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长春吉龙专用材料有限公司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于晶</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ISC-2023-1637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2028-08-13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2024年07月15日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