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审查信息传递表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山东番茄玩具有限公司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20451-2024-SA</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山东省菏泽市鲁西新区丹阳街道人民路与丹阳路交汇处西北角金都华庭101商户3楼307室</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马凯</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山东省菏泽市双河路4号3楼</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马凯</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16752989999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16752989999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服务认证</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GB/T27922-2011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玩具、教学专用仪器、教学用模型及教具、办公设备、家具、体育用品及器材、厨具卫具及日用杂品、办公用品、实验分析仪器、家用电器、计算机软硬件及辅助设备、音响设备、乐器、服装服饰、玻璃仪器、电子产品、数字视频监控系统、针纺织品、户外用品、普通露天游乐场所游乐设备、出版物的售后服务（五星级）</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bookmarkStart w:id="14" w:name="风险等级"/>
            <w:r>
              <w:rPr>
                <w:rFonts w:ascii="宋体"/>
                <w:bCs/>
                <w:sz w:val="24"/>
              </w:rPr>
              <w:t>(低风险)</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8941" w:type="dxa"/>
            <w:gridSpan w:val="14"/>
            <w:vAlign w:val="center"/>
          </w:tcPr>
          <w:p>
            <w:pPr>
              <w:spacing w:before="156" w:line="240" w:lineRule="exact"/>
              <w:jc w:val="left"/>
              <w:rPr>
                <w:rFonts w:hint="eastAsia" w:ascii="宋体" w:eastAsia="宋体"/>
                <w:bCs/>
                <w:sz w:val="24"/>
                <w:lang w:val="en-US" w:eastAsia="zh-CN"/>
              </w:rPr>
            </w:pPr>
            <w:bookmarkStart w:id="15" w:name="多场所情况"/>
            <w:bookmarkEnd w:id="15"/>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left"/>
              <w:rPr>
                <w:bCs/>
                <w:sz w:val="24"/>
              </w:rPr>
            </w:pPr>
            <w:r>
              <w:rPr>
                <w:rFonts w:hint="eastAsia"/>
                <w:bCs/>
                <w:sz w:val="24"/>
              </w:rPr>
              <w:t>多场所抽</w:t>
            </w:r>
          </w:p>
          <w:p>
            <w:pPr>
              <w:rPr>
                <w:bCs/>
                <w:sz w:val="24"/>
              </w:rPr>
            </w:pPr>
            <w:r>
              <w:rPr>
                <w:rFonts w:hint="eastAsia"/>
                <w:bCs/>
                <w:sz w:val="24"/>
              </w:rPr>
              <w:t>样及说明</w:t>
            </w:r>
          </w:p>
        </w:tc>
        <w:tc>
          <w:tcPr>
            <w:tcW w:w="8941" w:type="dxa"/>
            <w:gridSpan w:val="14"/>
            <w:vAlign w:val="center"/>
          </w:tcPr>
          <w:p>
            <w:pPr>
              <w:spacing w:before="156" w:line="240" w:lineRule="exact"/>
              <w:rPr>
                <w:rFonts w:hint="eastAsia" w:ascii="宋体" w:eastAsia="宋体"/>
                <w:bCs/>
                <w:sz w:val="24"/>
                <w:lang w:val="en-US" w:eastAsia="zh-CN"/>
              </w:rPr>
            </w:pPr>
            <w:bookmarkStart w:id="16" w:name="多场所抽样"/>
            <w:bookmarkEnd w:id="16"/>
            <w:r>
              <w:rPr>
                <w:rFonts w:hint="eastAsia" w:ascii="宋体"/>
                <w:bCs/>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7" w:name="OLE_LINK3"/>
          </w:p>
          <w:p>
            <w:pPr>
              <w:spacing w:before="156" w:line="240" w:lineRule="exact"/>
              <w:rPr>
                <w:rFonts w:ascii="宋体"/>
                <w:bCs/>
                <w:szCs w:val="21"/>
              </w:rPr>
            </w:pPr>
            <w:r>
              <w:rPr>
                <w:rFonts w:hint="eastAsia" w:ascii="宋体" w:hAnsi="宋体"/>
                <w:bCs/>
                <w:szCs w:val="21"/>
              </w:rPr>
              <w:t>□</w:t>
            </w:r>
            <w:bookmarkEnd w:id="17"/>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8" w:name="OLE_LINK10"/>
            <w:r>
              <w:rPr>
                <w:rFonts w:hint="eastAsia" w:ascii="宋体" w:hAnsi="宋体"/>
                <w:bCs/>
                <w:szCs w:val="21"/>
              </w:rPr>
              <w:t>□</w:t>
            </w:r>
            <w:bookmarkEnd w:id="18"/>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9" w:name="企业人数"/>
            <w:r>
              <w:rPr>
                <w:rFonts w:ascii="宋体"/>
                <w:bCs/>
                <w:szCs w:val="21"/>
              </w:rPr>
              <w:t>15</w:t>
            </w:r>
            <w:bookmarkEnd w:id="19"/>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20" w:name="体系人数"/>
            <w:r>
              <w:rPr>
                <w:rFonts w:ascii="宋体"/>
                <w:bCs/>
                <w:szCs w:val="21"/>
              </w:rPr>
              <w:t>15</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审查方案实施情况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现场审查   </w:t>
            </w:r>
            <w:r>
              <w:rPr>
                <w:rFonts w:hint="eastAsia" w:ascii="宋体" w:hAnsi="宋体" w:cs="宋体"/>
                <w:bCs/>
                <w:sz w:val="24"/>
                <w:lang w:val="en-US" w:eastAsia="zh-CN"/>
              </w:rPr>
              <w:t>1.5</w:t>
            </w:r>
            <w:bookmarkStart w:id="21" w:name="_GoBack"/>
            <w:bookmarkEnd w:id="21"/>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审查组专业</w:t>
            </w:r>
            <w:r>
              <w:rPr>
                <w:rFonts w:ascii="Wingdings 2" w:hAnsi="Wingdings 2" w:cs="宋体"/>
                <w:bCs/>
                <w:sz w:val="28"/>
                <w:szCs w:val="28"/>
              </w:rPr>
              <w:sym w:font="Wingdings 2" w:char="F0BE"/>
            </w:r>
            <w:r>
              <w:rPr>
                <w:rFonts w:hint="eastAsia" w:ascii="宋体" w:hAnsi="宋体" w:cs="宋体"/>
                <w:bCs/>
                <w:sz w:val="24"/>
              </w:rPr>
              <w:t>能 □否满足要求，□需□否增派审查员/技术专家，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远程审查（适用时）：</w:t>
            </w:r>
          </w:p>
          <w:p>
            <w:pPr>
              <w:pStyle w:val="2"/>
              <w:ind w:firstLine="0" w:firstLineChars="0"/>
              <w:rPr>
                <w:rFonts w:ascii="宋体" w:hAnsi="宋体" w:cs="宋体"/>
                <w:bCs/>
                <w:sz w:val="24"/>
              </w:rPr>
            </w:pPr>
            <w:r>
              <w:rPr>
                <w:rFonts w:hint="eastAsia" w:ascii="宋体" w:hAnsi="宋体" w:cs="宋体"/>
                <w:bCs/>
                <w:sz w:val="24"/>
              </w:rPr>
              <w:t xml:space="preserve">已安排的远程审查是否完成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本次远程活动中，是否实现审查目标     □是    □否 </w:t>
            </w:r>
          </w:p>
          <w:p>
            <w:pPr>
              <w:rPr>
                <w:rFonts w:ascii="宋体" w:hAnsi="宋体" w:cs="宋体"/>
                <w:bCs/>
                <w:sz w:val="24"/>
              </w:rPr>
            </w:pPr>
            <w:r>
              <w:rPr>
                <w:rFonts w:hint="eastAsia" w:ascii="宋体" w:hAnsi="宋体" w:cs="宋体"/>
                <w:bCs/>
                <w:sz w:val="24"/>
              </w:rPr>
              <w:t>组长审查建议：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审查组长/日期：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初次审查方案实施情况</w:t>
            </w:r>
          </w:p>
        </w:tc>
        <w:tc>
          <w:tcPr>
            <w:tcW w:w="8941" w:type="dxa"/>
            <w:gridSpan w:val="14"/>
            <w:vAlign w:val="center"/>
          </w:tcPr>
          <w:p>
            <w:pPr>
              <w:rPr>
                <w:rFonts w:ascii="宋体" w:hAnsi="宋体" w:cs="宋体"/>
                <w:bCs/>
                <w:sz w:val="24"/>
              </w:rPr>
            </w:pPr>
            <w:r>
              <w:rPr>
                <w:rFonts w:hint="eastAsia" w:ascii="宋体" w:hAnsi="宋体" w:cs="宋体"/>
                <w:bCs/>
                <w:sz w:val="24"/>
              </w:rPr>
              <w:t>现场审查    人/日</w:t>
            </w:r>
          </w:p>
          <w:p>
            <w:pPr>
              <w:rPr>
                <w:rFonts w:ascii="宋体" w:hAnsi="宋体" w:cs="宋体"/>
                <w:bCs/>
                <w:sz w:val="24"/>
              </w:rPr>
            </w:pPr>
          </w:p>
          <w:p>
            <w:pPr>
              <w:rPr>
                <w:rFonts w:ascii="宋体" w:hAnsi="宋体" w:cs="宋体"/>
                <w:bCs/>
                <w:sz w:val="24"/>
              </w:rPr>
            </w:pPr>
            <w:r>
              <w:rPr>
                <w:rFonts w:hint="eastAsia" w:ascii="宋体" w:hAnsi="宋体" w:cs="宋体"/>
                <w:bCs/>
                <w:sz w:val="24"/>
              </w:rPr>
              <w:t>审查组专业</w:t>
            </w:r>
            <w:r>
              <w:rPr>
                <w:rFonts w:ascii="Wingdings 2" w:hAnsi="Wingdings 2" w:cs="宋体"/>
                <w:bCs/>
                <w:sz w:val="28"/>
                <w:szCs w:val="28"/>
              </w:rPr>
              <w:sym w:font="Wingdings 2" w:char="F0BE"/>
            </w:r>
            <w:r>
              <w:rPr>
                <w:rFonts w:hint="eastAsia" w:ascii="宋体" w:hAnsi="宋体" w:cs="宋体"/>
                <w:bCs/>
                <w:sz w:val="24"/>
              </w:rPr>
              <w:t>能 □否满足要求，□需□否增派审查员/技术专家，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远程审查（适用时）：</w:t>
            </w:r>
          </w:p>
          <w:p>
            <w:pPr>
              <w:pStyle w:val="2"/>
              <w:ind w:firstLine="0" w:firstLineChars="0"/>
              <w:rPr>
                <w:rFonts w:ascii="宋体" w:hAnsi="宋体" w:cs="宋体"/>
                <w:bCs/>
                <w:sz w:val="24"/>
              </w:rPr>
            </w:pPr>
            <w:r>
              <w:rPr>
                <w:rFonts w:hint="eastAsia" w:ascii="宋体" w:hAnsi="宋体" w:cs="宋体"/>
                <w:bCs/>
                <w:sz w:val="24"/>
              </w:rPr>
              <w:t xml:space="preserve">已安排的远程审查是否完成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本次远程活动中，是否实现审查目标     □是    □否 </w:t>
            </w:r>
          </w:p>
          <w:p>
            <w:pPr>
              <w:rPr>
                <w:rFonts w:ascii="宋体" w:hAnsi="宋体" w:cs="宋体"/>
                <w:bCs/>
                <w:sz w:val="24"/>
              </w:rPr>
            </w:pPr>
            <w:r>
              <w:rPr>
                <w:rFonts w:hint="eastAsia" w:ascii="宋体" w:hAnsi="宋体" w:cs="宋体"/>
                <w:bCs/>
                <w:sz w:val="24"/>
              </w:rPr>
              <w:t>组长审查建议：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审查组长/日期：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审查方案实施及结论</w:t>
            </w:r>
          </w:p>
        </w:tc>
        <w:tc>
          <w:tcPr>
            <w:tcW w:w="8941" w:type="dxa"/>
            <w:gridSpan w:val="14"/>
            <w:vAlign w:val="bottom"/>
          </w:tcPr>
          <w:p>
            <w:pPr>
              <w:ind w:right="420"/>
              <w:rPr>
                <w:sz w:val="24"/>
              </w:rPr>
            </w:pPr>
            <w:r>
              <w:rPr>
                <w:rFonts w:hint="eastAsia"/>
                <w:sz w:val="24"/>
              </w:rPr>
              <w:t>本次审查要素：</w:t>
            </w:r>
          </w:p>
          <w:p>
            <w:pPr>
              <w:rPr>
                <w:rFonts w:ascii="宋体" w:hAnsi="宋体"/>
                <w:color w:val="000000"/>
                <w:sz w:val="24"/>
              </w:rPr>
            </w:pPr>
            <w:r>
              <w:rPr>
                <w:rFonts w:hint="eastAsia" w:ascii="宋体" w:hAnsi="宋体"/>
                <w:color w:val="000000"/>
                <w:sz w:val="24"/>
              </w:rPr>
              <w:t>审查的部门/条款：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rPr>
            </w:pPr>
            <w:r>
              <w:rPr>
                <w:rFonts w:hint="eastAsia" w:ascii="宋体" w:hAnsi="宋体"/>
                <w:sz w:val="24"/>
              </w:rPr>
              <w:t>□对下次审查的建议或审查关注点：</w:t>
            </w:r>
          </w:p>
          <w:p>
            <w:pPr>
              <w:spacing w:line="400" w:lineRule="exact"/>
              <w:rPr>
                <w:rFonts w:ascii="宋体" w:hAnsi="宋体"/>
                <w:sz w:val="24"/>
                <w:u w:val="single"/>
              </w:rPr>
            </w:pPr>
            <w:r>
              <w:rPr>
                <w:rFonts w:hint="eastAsia" w:ascii="宋体" w:hAnsi="宋体"/>
                <w:sz w:val="24"/>
              </w:rPr>
              <w:t xml:space="preserve"> </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审查组长/日期：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restart"/>
            <w:vAlign w:val="center"/>
          </w:tcPr>
          <w:p>
            <w:pPr>
              <w:jc w:val="center"/>
              <w:rPr>
                <w:bCs/>
                <w:sz w:val="24"/>
              </w:rPr>
            </w:pPr>
            <w:r>
              <w:rPr>
                <w:rFonts w:hint="eastAsia"/>
                <w:bCs/>
                <w:sz w:val="24"/>
              </w:rPr>
              <w:t>审查方案实施及结论</w:t>
            </w:r>
          </w:p>
        </w:tc>
        <w:tc>
          <w:tcPr>
            <w:tcW w:w="8941" w:type="dxa"/>
            <w:gridSpan w:val="14"/>
            <w:vAlign w:val="bottom"/>
          </w:tcPr>
          <w:p>
            <w:pPr>
              <w:ind w:right="420"/>
              <w:rPr>
                <w:sz w:val="24"/>
              </w:rPr>
            </w:pPr>
            <w:r>
              <w:rPr>
                <w:rFonts w:hint="eastAsia"/>
                <w:sz w:val="24"/>
              </w:rPr>
              <w:t>本次审查要素：</w:t>
            </w:r>
          </w:p>
          <w:p>
            <w:pPr>
              <w:rPr>
                <w:rFonts w:ascii="宋体" w:hAnsi="宋体"/>
                <w:color w:val="000000"/>
                <w:sz w:val="24"/>
              </w:rPr>
            </w:pPr>
            <w:r>
              <w:rPr>
                <w:rFonts w:hint="eastAsia" w:ascii="宋体" w:hAnsi="宋体"/>
                <w:color w:val="000000"/>
                <w:sz w:val="24"/>
              </w:rPr>
              <w:t>审查的部门/条款：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bottom"/>
          </w:tcPr>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rPr>
            </w:pPr>
            <w:r>
              <w:rPr>
                <w:rFonts w:hint="eastAsia" w:ascii="宋体" w:hAnsi="宋体"/>
                <w:sz w:val="24"/>
              </w:rPr>
              <w:t>□对下次再认证审查的建议或审查关注点：</w:t>
            </w:r>
          </w:p>
          <w:p>
            <w:pPr>
              <w:spacing w:line="400" w:lineRule="exact"/>
              <w:rPr>
                <w:rFonts w:ascii="宋体" w:hAnsi="宋体"/>
                <w:sz w:val="24"/>
                <w:u w:val="single"/>
              </w:rPr>
            </w:pPr>
            <w:r>
              <w:rPr>
                <w:rFonts w:hint="eastAsia" w:ascii="宋体" w:hAnsi="宋体"/>
                <w:sz w:val="24"/>
              </w:rPr>
              <w:t xml:space="preserve"> </w:t>
            </w:r>
          </w:p>
          <w:p>
            <w:pPr>
              <w:pStyle w:val="2"/>
              <w:ind w:firstLine="0" w:firstLineChars="0"/>
              <w:rPr>
                <w:rFonts w:ascii="宋体" w:hAnsi="宋体"/>
                <w:sz w:val="24"/>
              </w:rPr>
            </w:pPr>
          </w:p>
          <w:p>
            <w:pPr>
              <w:ind w:right="420"/>
              <w:rPr>
                <w:sz w:val="24"/>
              </w:rPr>
            </w:pPr>
            <w:r>
              <w:rPr>
                <w:rFonts w:hint="eastAsia" w:ascii="宋体" w:hAnsi="宋体" w:cs="宋体"/>
                <w:bCs/>
                <w:sz w:val="24"/>
              </w:rPr>
              <w:t>审查组长/日期：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□新增审查类型  □结合审查</w:t>
            </w:r>
            <w:r>
              <w:rPr>
                <w:rFonts w:hint="eastAsia" w:ascii="宋体" w:hAnsi="宋体"/>
                <w:color w:val="000000"/>
                <w:szCs w:val="21"/>
              </w:rPr>
              <w:t>多体系证书审查(并/错期)调整：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审查方案实施及结论</w:t>
            </w:r>
          </w:p>
        </w:tc>
        <w:tc>
          <w:tcPr>
            <w:tcW w:w="8941" w:type="dxa"/>
            <w:gridSpan w:val="14"/>
            <w:vAlign w:val="bottom"/>
          </w:tcPr>
          <w:p>
            <w:pPr>
              <w:ind w:right="420"/>
              <w:rPr>
                <w:sz w:val="24"/>
              </w:rPr>
            </w:pPr>
            <w:r>
              <w:rPr>
                <w:rFonts w:hint="eastAsia"/>
                <w:sz w:val="24"/>
              </w:rPr>
              <w:t>本次审查要素：</w:t>
            </w:r>
          </w:p>
          <w:p>
            <w:pPr>
              <w:rPr>
                <w:rFonts w:ascii="宋体" w:hAnsi="宋体"/>
                <w:color w:val="000000"/>
                <w:sz w:val="24"/>
              </w:rPr>
            </w:pPr>
            <w:r>
              <w:rPr>
                <w:rFonts w:hint="eastAsia" w:ascii="宋体" w:hAnsi="宋体"/>
                <w:color w:val="000000"/>
                <w:sz w:val="24"/>
              </w:rPr>
              <w:t>审查的部门/条款：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□对下次审查的建议： </w:t>
            </w:r>
          </w:p>
          <w:p>
            <w:pPr>
              <w:spacing w:line="400" w:lineRule="exact"/>
              <w:rPr>
                <w:rFonts w:ascii="宋体" w:hAnsi="宋体"/>
                <w:sz w:val="24"/>
              </w:rPr>
            </w:pPr>
            <w:r>
              <w:rPr>
                <w:rFonts w:hint="eastAsia" w:ascii="宋体" w:hAnsi="宋体"/>
                <w:sz w:val="24"/>
              </w:rPr>
              <w:t>多体系/证书审查(并/错期)调整建议：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审查组长/日期：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289.5pt;margin-top:2.25pt;height:24.15pt;width:225.55pt;z-index:251659264;mso-width-relative:page;mso-height-relative:page;" stroked="f" coordsize="21600,21600">
          <v:path/>
          <v:fill focussize="0,0"/>
          <v:stroke on="f" joinstyle="miter"/>
          <v:imagedata o:title=""/>
          <o:lock v:ext="edit"/>
          <v:textbox>
            <w:txbxContent>
              <w:p>
                <w:pPr>
                  <w:rPr>
                    <w:szCs w:val="21"/>
                  </w:rPr>
                </w:pPr>
                <w:r>
                  <w:rPr>
                    <w:rFonts w:hint="eastAsia"/>
                    <w:color w:val="000000"/>
                    <w:kern w:val="0"/>
                    <w:szCs w:val="21"/>
                  </w:rPr>
                  <w:t xml:space="preserve">ISC-S-I-03 </w:t>
                </w:r>
                <w:r>
                  <w:rPr>
                    <w:rFonts w:hint="eastAsia"/>
                    <w:szCs w:val="21"/>
                  </w:rPr>
                  <w:t>审查信息传递表（A/1)</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dlNTc2NTg1YWJiZTEzNDYyOTVjOGUzOThlMmI3YTEifQ=="/>
  </w:docVars>
  <w:rsids>
    <w:rsidRoot w:val="00000000"/>
    <w:rsid w:val="0B8D4B8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1464</Words>
  <Characters>1519</Characters>
  <Lines>12</Lines>
  <Paragraphs>3</Paragraphs>
  <TotalTime>24</TotalTime>
  <ScaleCrop>false</ScaleCrop>
  <LinksUpToDate>false</LinksUpToDate>
  <CharactersWithSpaces>1919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lee</cp:lastModifiedBy>
  <cp:lastPrinted>2015-12-21T05:08:00Z</cp:lastPrinted>
  <dcterms:modified xsi:type="dcterms:W3CDTF">2024-06-17T09:07:00Z</dcterms:modified>
  <dc:title>审核方案策划表</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2052-12.1.0.16929</vt:lpwstr>
  </property>
</Properties>
</file>