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江苏海岸药业有限公司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0028-2019-2020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0028-2019-2020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510"/>
        <w:gridCol w:w="191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江苏海岸药业有限公司</w:t>
            </w:r>
            <w:bookmarkEnd w:id="4"/>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22" w:type="dxa"/>
          </w:tcPr>
          <w:p>
            <w:pPr>
              <w:tabs>
                <w:tab w:val="left" w:pos="880"/>
              </w:tabs>
              <w:autoSpaceDE w:val="0"/>
              <w:autoSpaceDN w:val="0"/>
              <w:adjustRightInd w:val="0"/>
              <w:spacing w:before="35" w:line="360" w:lineRule="auto"/>
              <w:ind w:right="161" w:firstLine="420" w:firstLineChars="2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周芳婷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1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5" w:name="证书编号"/>
            <w:bookmarkEnd w:id="5"/>
            <w:r>
              <w:rPr>
                <w:rFonts w:hint="eastAsia" w:cs="宋体" w:asciiTheme="minorEastAsia" w:hAnsiTheme="minorEastAsia"/>
                <w:kern w:val="0"/>
                <w:szCs w:val="21"/>
                <w:lang w:val="en-US" w:eastAsia="zh-CN"/>
              </w:rPr>
              <w:t>ISC-2019-0406</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2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6" w:name="证书有效期"/>
            <w:bookmarkEnd w:id="6"/>
            <w:r>
              <w:rPr>
                <w:rFonts w:hint="eastAsia" w:cs="宋体" w:asciiTheme="minorEastAsia" w:hAnsiTheme="minorEastAsia"/>
                <w:kern w:val="0"/>
                <w:szCs w:val="21"/>
                <w:lang w:val="en-US" w:eastAsia="zh-CN"/>
              </w:rPr>
              <w:t>2024年5月14日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次监督审核</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22" w:type="dxa"/>
          </w:tcPr>
          <w:p>
            <w:pPr>
              <w:tabs>
                <w:tab w:val="left" w:pos="880"/>
              </w:tabs>
              <w:autoSpaceDE w:val="0"/>
              <w:autoSpaceDN w:val="0"/>
              <w:adjustRightInd w:val="0"/>
              <w:spacing w:before="35" w:line="240" w:lineRule="auto"/>
              <w:ind w:right="161"/>
              <w:rPr>
                <w:rFonts w:hint="eastAsia" w:cs="宋体" w:asciiTheme="minorEastAsia" w:hAnsiTheme="minorEastAsia"/>
                <w:kern w:val="0"/>
                <w:szCs w:val="21"/>
                <w:lang w:val="en-US" w:eastAsia="zh-CN"/>
              </w:rPr>
            </w:pPr>
            <w:bookmarkStart w:id="7" w:name="审核开始日"/>
            <w:r>
              <w:rPr>
                <w:rFonts w:hint="eastAsia" w:cs="宋体" w:asciiTheme="minorEastAsia" w:hAnsiTheme="minorEastAsia"/>
                <w:kern w:val="0"/>
                <w:szCs w:val="21"/>
                <w:lang w:val="en-US" w:eastAsia="zh-CN"/>
              </w:rPr>
              <w:t>2020年05月27日</w:t>
            </w:r>
            <w:bookmarkEnd w:id="7"/>
            <w:r>
              <w:rPr>
                <w:rFonts w:hint="eastAsia" w:cs="宋体" w:asciiTheme="minorEastAsia" w:hAnsiTheme="minorEastAsia"/>
                <w:kern w:val="0"/>
                <w:szCs w:val="21"/>
                <w:lang w:val="en-US" w:eastAsia="zh-CN"/>
              </w:rPr>
              <w:t>-</w:t>
            </w:r>
          </w:p>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2020年05月28日上午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6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10" w:type="dxa"/>
          </w:tcPr>
          <w:p>
            <w:pPr>
              <w:tabs>
                <w:tab w:val="left" w:pos="880"/>
              </w:tabs>
              <w:autoSpaceDE w:val="0"/>
              <w:autoSpaceDN w:val="0"/>
              <w:adjustRightInd w:val="0"/>
              <w:spacing w:before="35" w:line="360" w:lineRule="auto"/>
              <w:ind w:right="161"/>
              <w:rPr>
                <w:rFonts w:hint="eastAsia"/>
                <w:color w:val="000000"/>
                <w:szCs w:val="21"/>
                <w:lang w:val="en-US" w:eastAsia="zh-CN"/>
              </w:rPr>
            </w:pPr>
            <w:r>
              <w:rPr>
                <w:rFonts w:hint="eastAsia"/>
                <w:color w:val="000000"/>
                <w:szCs w:val="21"/>
                <w:lang w:eastAsia="zh-CN"/>
              </w:rPr>
              <w:t>李俐</w:t>
            </w:r>
            <w:r>
              <w:rPr>
                <w:rFonts w:hint="eastAsia"/>
                <w:color w:val="000000"/>
                <w:szCs w:val="21"/>
                <w:lang w:val="en-US" w:eastAsia="zh-CN"/>
              </w:rPr>
              <w:t xml:space="preserve"> </w:t>
            </w:r>
            <w:r>
              <w:rPr>
                <w:rFonts w:hint="eastAsia"/>
                <w:color w:val="000000"/>
                <w:szCs w:val="21"/>
                <w:lang w:eastAsia="zh-CN"/>
              </w:rPr>
              <w:t>ISC[S]00</w:t>
            </w:r>
            <w:r>
              <w:rPr>
                <w:rFonts w:hint="eastAsia"/>
                <w:color w:val="000000"/>
                <w:szCs w:val="21"/>
                <w:lang w:val="en-US" w:eastAsia="zh-CN"/>
              </w:rPr>
              <w:t>08</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olor w:val="000000"/>
                <w:szCs w:val="21"/>
                <w:lang w:eastAsia="zh-CN"/>
              </w:rPr>
              <w:t>李琪</w:t>
            </w:r>
            <w:r>
              <w:rPr>
                <w:rFonts w:hint="eastAsia"/>
                <w:color w:val="000000"/>
                <w:szCs w:val="21"/>
                <w:lang w:val="en-US" w:eastAsia="zh-CN"/>
              </w:rPr>
              <w:t xml:space="preserve"> </w:t>
            </w:r>
            <w:r>
              <w:rPr>
                <w:rFonts w:hint="eastAsia"/>
                <w:color w:val="000000"/>
                <w:szCs w:val="21"/>
                <w:lang w:eastAsia="zh-CN"/>
              </w:rPr>
              <w:t>ISC[S]0040</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22" w:type="dxa"/>
          </w:tcPr>
          <w:p>
            <w:pPr>
              <w:jc w:val="left"/>
              <w:rPr>
                <w:rFonts w:cs="宋体" w:asciiTheme="minorEastAsia" w:hAnsiTheme="minorEastAsia"/>
                <w:kern w:val="0"/>
                <w:szCs w:val="21"/>
              </w:rPr>
            </w:pPr>
            <w:r>
              <w:rPr>
                <w:rFonts w:hint="eastAsia" w:ascii="宋体" w:hAnsi="宋体" w:cs="宋体"/>
                <w:szCs w:val="21"/>
              </w:rPr>
              <w:t>人力资源部</w:t>
            </w:r>
            <w:r>
              <w:rPr>
                <w:rFonts w:hint="eastAsia" w:ascii="宋体" w:hAnsi="宋体" w:cs="宋体"/>
                <w:szCs w:val="21"/>
                <w:lang w:eastAsia="zh-CN"/>
              </w:rPr>
              <w:t>、</w:t>
            </w:r>
            <w:r>
              <w:rPr>
                <w:rFonts w:hint="eastAsia" w:ascii="宋体" w:hAnsi="宋体" w:cs="宋体"/>
                <w:szCs w:val="21"/>
              </w:rPr>
              <w:t>质量管理部</w:t>
            </w:r>
            <w:r>
              <w:rPr>
                <w:rFonts w:hint="eastAsia" w:ascii="宋体" w:hAnsi="宋体" w:cs="宋体"/>
                <w:szCs w:val="21"/>
                <w:lang w:eastAsia="zh-CN"/>
              </w:rPr>
              <w:t>、</w:t>
            </w:r>
            <w:r>
              <w:rPr>
                <w:rFonts w:hint="eastAsia" w:ascii="宋体" w:hAnsi="宋体" w:cs="宋体"/>
                <w:szCs w:val="21"/>
              </w:rPr>
              <w:t>工程设备部</w:t>
            </w:r>
            <w:r>
              <w:rPr>
                <w:rFonts w:hint="eastAsia" w:ascii="宋体" w:hAnsi="宋体" w:cs="宋体"/>
                <w:szCs w:val="21"/>
                <w:lang w:eastAsia="zh-CN"/>
              </w:rPr>
              <w:t>、</w:t>
            </w:r>
            <w:r>
              <w:rPr>
                <w:rFonts w:hint="eastAsia" w:ascii="宋体" w:hAnsi="宋体" w:cs="宋体"/>
                <w:szCs w:val="21"/>
              </w:rPr>
              <w:t>生产制造部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bookmarkStart w:id="10" w:name="_GoBack"/>
      <w:bookmarkEnd w:id="10"/>
    </w:p>
    <w:p>
      <w:pPr>
        <w:widowControl/>
        <w:spacing w:line="360" w:lineRule="auto"/>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cs="宋体" w:asciiTheme="minorEastAsia" w:hAnsiTheme="minorEastAsia"/>
          <w:bCs/>
          <w:kern w:val="0"/>
          <w:szCs w:val="21"/>
        </w:rPr>
        <w:t>为有效评价公司测量管理体系认证后</w:t>
      </w:r>
      <w:r>
        <w:rPr>
          <w:rFonts w:hint="eastAsia" w:cs="宋体" w:asciiTheme="minorEastAsia" w:hAnsiTheme="minorEastAsia"/>
          <w:bCs/>
          <w:kern w:val="0"/>
          <w:szCs w:val="21"/>
          <w:lang w:val="en-US" w:eastAsia="zh-CN"/>
        </w:rPr>
        <w:t>一</w:t>
      </w:r>
      <w:r>
        <w:rPr>
          <w:rFonts w:hint="eastAsia" w:cs="宋体" w:asciiTheme="minorEastAsia" w:hAnsiTheme="minorEastAsia"/>
          <w:bCs/>
          <w:kern w:val="0"/>
          <w:szCs w:val="21"/>
        </w:rPr>
        <w:t>年以来运行情况，20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27-28</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lang w:val="en-US" w:eastAsia="zh-CN"/>
        </w:rPr>
        <w:t>远程</w:t>
      </w:r>
      <w:r>
        <w:rPr>
          <w:rFonts w:hint="eastAsia" w:cs="宋体" w:asciiTheme="minorEastAsia" w:hAnsiTheme="minorEastAsia"/>
          <w:bCs/>
          <w:kern w:val="0"/>
          <w:szCs w:val="21"/>
        </w:rPr>
        <w:t>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Times New Roman" w:hAnsi="Times New Roman" w:cs="Times New Roman"/>
        </w:rPr>
        <w:t>注射用水pH值测定</w:t>
      </w:r>
      <w:r>
        <w:rPr>
          <w:rFonts w:hint="eastAsia" w:ascii="宋体" w:hAnsi="宋体"/>
          <w:szCs w:val="21"/>
          <w:lang w:eastAsia="zh-CN"/>
        </w:rPr>
        <w:t>等测量过程，掌握了企业测量管理体系的运行状况和品质。</w:t>
      </w:r>
    </w:p>
    <w:p>
      <w:pPr>
        <w:widowControl/>
        <w:spacing w:line="360" w:lineRule="auto"/>
        <w:ind w:firstLine="420" w:firstLineChars="200"/>
        <w:rPr>
          <w:rFonts w:hint="eastAsia" w:ascii="宋体" w:hAnsi="宋体"/>
          <w:szCs w:val="21"/>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hint="eastAsia" w:ascii="宋体" w:hAnsi="宋体"/>
          <w:szCs w:val="21"/>
        </w:rPr>
      </w:pPr>
      <w:r>
        <w:rPr>
          <w:rFonts w:hint="eastAsia" w:ascii="宋体" w:hAnsi="宋体"/>
          <w:szCs w:val="21"/>
        </w:rPr>
        <w:t>内部审核和管理评审的情况：</w:t>
      </w:r>
    </w:p>
    <w:p>
      <w:pPr>
        <w:widowControl/>
        <w:adjustRightInd w:val="0"/>
        <w:snapToGrid w:val="0"/>
        <w:spacing w:line="360" w:lineRule="auto"/>
        <w:ind w:firstLine="315" w:firstLineChars="150"/>
        <w:rPr>
          <w:rFonts w:hint="eastAsia" w:ascii="宋体" w:hAnsi="宋体"/>
          <w:szCs w:val="21"/>
        </w:rPr>
      </w:pPr>
      <w:r>
        <w:rPr>
          <w:rFonts w:hint="eastAsia" w:ascii="宋体" w:hAnsi="宋体"/>
          <w:szCs w:val="21"/>
        </w:rPr>
        <w:t>企业于20</w:t>
      </w:r>
      <w:r>
        <w:rPr>
          <w:rFonts w:hint="eastAsia" w:ascii="宋体" w:hAnsi="宋体"/>
          <w:szCs w:val="21"/>
          <w:lang w:val="en-US" w:eastAsia="zh-CN"/>
        </w:rPr>
        <w:t>20</w:t>
      </w:r>
      <w:r>
        <w:rPr>
          <w:rFonts w:hint="eastAsia" w:ascii="宋体" w:hAnsi="宋体"/>
          <w:szCs w:val="21"/>
        </w:rPr>
        <w:t>年</w:t>
      </w:r>
      <w:bookmarkStart w:id="8" w:name="_Hlk514158859"/>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bookmarkEnd w:id="8"/>
      <w:r>
        <w:rPr>
          <w:rFonts w:hint="eastAsia" w:ascii="宋体" w:hAnsi="宋体"/>
          <w:szCs w:val="21"/>
        </w:rPr>
        <w:t>组织了公司测量管理体系内部审核，内审分2个组，对公司所有部门、生产车间进行了全要素的审核，共发现了</w:t>
      </w:r>
      <w:r>
        <w:rPr>
          <w:rFonts w:hint="eastAsia" w:ascii="宋体" w:hAnsi="宋体"/>
          <w:szCs w:val="21"/>
          <w:lang w:val="en-US" w:eastAsia="zh-CN"/>
        </w:rPr>
        <w:t>6</w:t>
      </w:r>
      <w:r>
        <w:rPr>
          <w:rFonts w:hint="eastAsia" w:ascii="宋体" w:hAnsi="宋体"/>
          <w:szCs w:val="21"/>
        </w:rPr>
        <w:t>个需要改进问题，并在规定的时间里完成了整改。</w:t>
      </w:r>
    </w:p>
    <w:p>
      <w:pPr>
        <w:widowControl/>
        <w:spacing w:line="360" w:lineRule="auto"/>
        <w:ind w:firstLine="420" w:firstLineChars="200"/>
        <w:rPr>
          <w:rFonts w:hint="eastAsia" w:ascii="宋体" w:hAnsi="宋体"/>
          <w:szCs w:val="21"/>
        </w:rPr>
      </w:pPr>
      <w:r>
        <w:rPr>
          <w:rFonts w:hint="eastAsia" w:ascii="宋体" w:hAnsi="宋体"/>
          <w:szCs w:val="21"/>
        </w:rPr>
        <w:t>企业于20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开展了测量管理体系管理评审，会议由公司总经理王启帅主持，由公司各部门分别按管理评审输入要求汇报了体系运行实施及完成情况。管代王密锋总结了测量体系的运行情况，并肯定了公司测量管理体系运行的充分性、有效性和适宜性。形成了管理评审报告。</w:t>
      </w:r>
    </w:p>
    <w:p>
      <w:pPr>
        <w:widowControl/>
        <w:spacing w:line="400" w:lineRule="exact"/>
        <w:ind w:firstLine="420" w:firstLineChars="200"/>
        <w:rPr>
          <w:rFonts w:hint="eastAsia" w:ascii="宋体" w:hAnsi="宋体"/>
          <w:szCs w:val="21"/>
        </w:rPr>
      </w:pPr>
      <w:r>
        <w:rPr>
          <w:rFonts w:hint="eastAsia" w:ascii="宋体" w:hAnsi="宋体"/>
          <w:szCs w:val="21"/>
        </w:rPr>
        <w:t>4.为持续改进而策划的活动的进展，包括：</w:t>
      </w:r>
    </w:p>
    <w:p>
      <w:pPr>
        <w:widowControl/>
        <w:spacing w:line="360" w:lineRule="auto"/>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江苏海岸药业有限公司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360" w:lineRule="auto"/>
        <w:ind w:firstLine="420" w:firstLineChars="200"/>
        <w:rPr>
          <w:rFonts w:hint="eastAsia" w:cs="宋体" w:asciiTheme="minorEastAsia" w:hAnsiTheme="minorEastAsia" w:eastAsiaTheme="minorEastAsia"/>
          <w:color w:val="000000" w:themeColor="text1"/>
          <w:kern w:val="0"/>
          <w:szCs w:val="21"/>
          <w:lang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个关键测量过程：</w:t>
      </w:r>
      <w:r>
        <w:rPr>
          <w:rFonts w:hint="eastAsia" w:ascii="Times New Roman" w:hAnsi="Times New Roman" w:cs="Times New Roman"/>
        </w:rPr>
        <w:t>注射用水pH值测定过程</w:t>
      </w:r>
      <w:r>
        <w:rPr>
          <w:rFonts w:hint="eastAsia" w:ascii="宋体" w:hAnsi="宋体"/>
          <w:szCs w:val="21"/>
          <w:lang w:eastAsia="zh-CN"/>
        </w:rPr>
        <w:t>，</w:t>
      </w:r>
      <w:r>
        <w:rPr>
          <w:rFonts w:hint="eastAsia" w:cs="宋体" w:asciiTheme="minorEastAsia" w:hAnsiTheme="minorEastAsia"/>
          <w:kern w:val="0"/>
          <w:szCs w:val="21"/>
        </w:rPr>
        <w:t>体系运行一年来未有新增</w:t>
      </w:r>
      <w:r>
        <w:rPr>
          <w:rFonts w:hint="eastAsia" w:cs="宋体" w:asciiTheme="minorEastAsia" w:hAnsiTheme="minorEastAsia"/>
          <w:color w:val="000000" w:themeColor="text1"/>
          <w:kern w:val="0"/>
          <w:szCs w:val="21"/>
        </w:rPr>
        <w:t>测量过程</w:t>
      </w:r>
      <w:r>
        <w:rPr>
          <w:rFonts w:hint="eastAsia" w:cs="宋体" w:asciiTheme="minorEastAsia" w:hAnsiTheme="minorEastAsia"/>
          <w:color w:val="000000" w:themeColor="text1"/>
          <w:kern w:val="0"/>
          <w:szCs w:val="21"/>
          <w:lang w:eastAsia="zh-CN"/>
        </w:rPr>
        <w:t>。</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4.3</w:t>
      </w:r>
      <w:r>
        <w:rPr>
          <w:rFonts w:hint="eastAsia" w:ascii="宋体" w:hAnsi="宋体"/>
          <w:color w:val="000000" w:themeColor="text1"/>
          <w:szCs w:val="21"/>
        </w:rPr>
        <w:t>.1查</w:t>
      </w:r>
      <w:r>
        <w:rPr>
          <w:rFonts w:hint="eastAsia" w:ascii="Times New Roman" w:hAnsi="Times New Roman" w:cs="Times New Roman"/>
        </w:rPr>
        <w:t>注射用水pH值测定过程</w:t>
      </w:r>
      <w:r>
        <w:rPr>
          <w:rFonts w:hint="eastAsia" w:ascii="宋体" w:hAnsi="宋体"/>
          <w:color w:val="000000" w:themeColor="text1"/>
          <w:szCs w:val="21"/>
        </w:rPr>
        <w:t>等</w:t>
      </w:r>
      <w:r>
        <w:rPr>
          <w:rFonts w:hint="eastAsia" w:ascii="宋体" w:hAnsi="宋体" w:cs="宋体"/>
          <w:color w:val="000000" w:themeColor="text1"/>
          <w:kern w:val="0"/>
          <w:szCs w:val="21"/>
        </w:rPr>
        <w:t>，企业规定了测量人员和测量方法、测量设备的控制要求，</w:t>
      </w:r>
      <w:r>
        <w:rPr>
          <w:rFonts w:hint="eastAsia" w:ascii="宋体" w:hAnsi="宋体"/>
          <w:bCs/>
          <w:color w:val="000000" w:themeColor="text1"/>
          <w:szCs w:val="21"/>
        </w:rPr>
        <w:t>详</w:t>
      </w:r>
      <w:r>
        <w:rPr>
          <w:rFonts w:hint="eastAsia" w:ascii="宋体" w:hAnsi="宋体" w:cs="宋体"/>
          <w:color w:val="000000" w:themeColor="text1"/>
          <w:kern w:val="0"/>
          <w:szCs w:val="21"/>
        </w:rPr>
        <w:t>见《测量过程控制抽查表》。</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4.3</w:t>
      </w:r>
      <w:r>
        <w:rPr>
          <w:rFonts w:hint="eastAsia" w:ascii="宋体" w:hAnsi="宋体"/>
          <w:color w:val="000000" w:themeColor="text1"/>
          <w:szCs w:val="21"/>
        </w:rPr>
        <w:t>.</w:t>
      </w:r>
      <w:r>
        <w:rPr>
          <w:rFonts w:hint="eastAsia" w:ascii="宋体" w:hAnsi="宋体"/>
          <w:color w:val="000000" w:themeColor="text1"/>
          <w:szCs w:val="21"/>
          <w:lang w:val="en-US" w:eastAsia="zh-CN"/>
        </w:rPr>
        <w:t>2</w:t>
      </w:r>
      <w:r>
        <w:rPr>
          <w:rFonts w:hint="eastAsia" w:ascii="宋体" w:hAnsi="宋体"/>
          <w:color w:val="000000" w:themeColor="text1"/>
          <w:szCs w:val="21"/>
        </w:rPr>
        <w:t>重点抽查</w:t>
      </w:r>
      <w:r>
        <w:rPr>
          <w:rFonts w:hint="eastAsia" w:ascii="Times New Roman" w:hAnsi="Times New Roman" w:cs="Times New Roman"/>
        </w:rPr>
        <w:t>注射用水pH值测定</w:t>
      </w:r>
      <w:r>
        <w:rPr>
          <w:rFonts w:hint="eastAsia" w:ascii="宋体" w:hAnsi="宋体" w:cs="宋体"/>
          <w:color w:val="000000" w:themeColor="text1"/>
          <w:kern w:val="0"/>
          <w:szCs w:val="21"/>
        </w:rPr>
        <w:t>过程测量</w:t>
      </w:r>
      <w:r>
        <w:rPr>
          <w:rFonts w:hint="eastAsia" w:ascii="宋体" w:hAnsi="宋体"/>
          <w:color w:val="000000" w:themeColor="text1"/>
          <w:szCs w:val="21"/>
        </w:rPr>
        <w:t>不确定度评定，评定方法正确，详见附件《不确定度评定报告》。</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4.3.3</w:t>
      </w:r>
      <w:r>
        <w:rPr>
          <w:rFonts w:hint="eastAsia" w:ascii="宋体" w:hAnsi="宋体"/>
          <w:color w:val="000000" w:themeColor="text1"/>
          <w:szCs w:val="21"/>
        </w:rPr>
        <w:t>重点抽查了</w:t>
      </w:r>
      <w:r>
        <w:rPr>
          <w:rFonts w:hint="eastAsia" w:ascii="Times New Roman" w:hAnsi="Times New Roman" w:cs="Times New Roman"/>
        </w:rPr>
        <w:t>注射用水pH值测定过程</w:t>
      </w:r>
      <w:r>
        <w:rPr>
          <w:rFonts w:hint="eastAsia" w:ascii="宋体" w:hAnsi="宋体"/>
          <w:color w:val="000000" w:themeColor="text1"/>
          <w:szCs w:val="21"/>
        </w:rPr>
        <w:t>有效性确认，测量过程监视记和控制图绘制，基本满足标准要求，</w:t>
      </w:r>
      <w:r>
        <w:rPr>
          <w:rFonts w:hint="eastAsia" w:ascii="宋体" w:hAnsi="宋体"/>
          <w:bCs/>
          <w:color w:val="000000" w:themeColor="text1"/>
          <w:szCs w:val="21"/>
        </w:rPr>
        <w:t>详</w:t>
      </w:r>
      <w:r>
        <w:rPr>
          <w:rFonts w:hint="eastAsia" w:ascii="宋体" w:hAnsi="宋体"/>
          <w:color w:val="000000" w:themeColor="text1"/>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numPr>
          <w:ilvl w:val="0"/>
          <w:numId w:val="0"/>
        </w:numPr>
        <w:spacing w:line="360" w:lineRule="auto"/>
        <w:ind w:leftChars="0" w:firstLine="420" w:firstLineChars="200"/>
        <w:rPr>
          <w:rFonts w:hint="eastAsia" w:cs="宋体" w:asciiTheme="minorEastAsia" w:hAnsiTheme="minorEastAsia"/>
          <w:bCs/>
          <w:kern w:val="0"/>
          <w:szCs w:val="21"/>
          <w:lang w:val="en-US" w:eastAsia="zh-CN"/>
        </w:rPr>
      </w:pPr>
      <w:r>
        <w:rPr>
          <w:rFonts w:hint="eastAsia" w:cs="宋体"/>
          <w:kern w:val="0"/>
        </w:rPr>
        <w:t>公司已针对上一年度开具的不符合项</w:t>
      </w:r>
      <w:r>
        <w:rPr>
          <w:rFonts w:hint="eastAsia" w:cs="宋体"/>
          <w:kern w:val="0"/>
          <w:lang w:eastAsia="zh-CN"/>
        </w:rPr>
        <w:t>：</w:t>
      </w:r>
      <w:r>
        <w:rPr>
          <w:rFonts w:hint="eastAsia" w:cs="宋体"/>
          <w:kern w:val="0"/>
          <w:lang w:val="en-US" w:eastAsia="zh-CN"/>
        </w:rPr>
        <w:t>“</w:t>
      </w:r>
      <w:r>
        <w:rPr>
          <w:rFonts w:hint="eastAsia" w:ascii="宋体" w:hAnsi="宋体"/>
          <w:szCs w:val="21"/>
        </w:rPr>
        <w:t>企业建立的测量设备台账中信息不全，部分测量设备的计量特性（准确度等级）未填写</w:t>
      </w:r>
      <w:r>
        <w:rPr>
          <w:rFonts w:hint="eastAsia" w:cs="宋体"/>
          <w:kern w:val="0"/>
          <w:lang w:val="en-US" w:eastAsia="zh-CN"/>
        </w:rPr>
        <w:t>”</w:t>
      </w:r>
      <w:r>
        <w:rPr>
          <w:rFonts w:hint="eastAsia" w:cs="宋体"/>
          <w:kern w:val="0"/>
        </w:rPr>
        <w:t>已采取有效措施，已关闭。</w:t>
      </w:r>
    </w:p>
    <w:p>
      <w:pPr>
        <w:pStyle w:val="10"/>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360" w:lineRule="auto"/>
        <w:ind w:firstLine="420" w:firstLineChars="200"/>
        <w:rPr>
          <w:rFonts w:hint="eastAsia" w:cs="宋体"/>
          <w:kern w:val="0"/>
          <w:lang w:val="en-US" w:eastAsia="zh-CN"/>
        </w:rPr>
      </w:pPr>
      <w:r>
        <w:rPr>
          <w:rFonts w:hint="eastAsia" w:asciiTheme="minorEastAsia" w:hAnsiTheme="minorEastAsia"/>
          <w:bCs/>
          <w:szCs w:val="21"/>
        </w:rPr>
        <w:t>该公</w:t>
      </w:r>
      <w:r>
        <w:rPr>
          <w:rFonts w:hint="eastAsia" w:hAnsi="DFKai-SB"/>
          <w:color w:val="000000"/>
          <w:szCs w:val="21"/>
          <w:lang w:val="en-US" w:eastAsia="zh-CN"/>
        </w:rPr>
        <w:t>司2019年全年能耗：</w:t>
      </w:r>
      <w:r>
        <w:rPr>
          <w:rFonts w:hint="eastAsia"/>
          <w:bCs/>
          <w:szCs w:val="21"/>
        </w:rPr>
        <w:t>9</w:t>
      </w:r>
      <w:r>
        <w:rPr>
          <w:rFonts w:hint="eastAsia"/>
          <w:bCs/>
          <w:szCs w:val="21"/>
          <w:lang w:val="en-US" w:eastAsia="zh-CN"/>
        </w:rPr>
        <w:t>5</w:t>
      </w:r>
      <w:r>
        <w:rPr>
          <w:rFonts w:hint="eastAsia" w:ascii="宋体" w:hAnsi="宋体" w:cs="宋体"/>
          <w:kern w:val="0"/>
          <w:szCs w:val="21"/>
          <w:lang w:val="en-US" w:eastAsia="zh-CN"/>
        </w:rPr>
        <w:t>吨标准煤</w:t>
      </w:r>
      <w:r>
        <w:rPr>
          <w:rFonts w:hint="eastAsia" w:hAnsi="DFKai-SB"/>
          <w:color w:val="000000"/>
          <w:szCs w:val="21"/>
          <w:lang w:val="en-US" w:eastAsia="zh-CN"/>
        </w:rPr>
        <w:t>。</w:t>
      </w:r>
      <w:r>
        <w:rPr>
          <w:rFonts w:hint="eastAsia" w:asciiTheme="minorEastAsia" w:hAnsiTheme="minorEastAsia"/>
          <w:bCs/>
          <w:szCs w:val="21"/>
        </w:rPr>
        <w:t>不属于重点能耗企业，已经按要求统计公司水电气总能耗</w:t>
      </w:r>
      <w:r>
        <w:rPr>
          <w:rFonts w:hint="eastAsia" w:asciiTheme="minorEastAsia" w:hAnsiTheme="minorEastAsia"/>
          <w:bCs/>
          <w:szCs w:val="21"/>
          <w:lang w:eastAsia="zh-CN"/>
        </w:rPr>
        <w:t>，</w:t>
      </w:r>
      <w:r>
        <w:rPr>
          <w:rFonts w:hint="eastAsia" w:asciiTheme="minorEastAsia" w:hAnsiTheme="minorEastAsia"/>
          <w:bCs/>
          <w:szCs w:val="21"/>
        </w:rPr>
        <w:t>建立了能源计量器台账；能源计量器具已纳入测量体系管理。</w:t>
      </w:r>
    </w:p>
    <w:p>
      <w:pPr>
        <w:widowControl/>
        <w:numPr>
          <w:ilvl w:val="0"/>
          <w:numId w:val="0"/>
        </w:numPr>
        <w:spacing w:line="360" w:lineRule="auto"/>
        <w:rPr>
          <w:rFonts w:cs="宋体" w:asciiTheme="minorEastAsia" w:hAnsiTheme="minorEastAsia"/>
          <w:bCs/>
          <w:kern w:val="0"/>
          <w:szCs w:val="21"/>
        </w:rPr>
      </w:pPr>
      <w:r>
        <w:rPr>
          <w:rFonts w:hint="eastAsia" w:cs="宋体"/>
          <w:kern w:val="0"/>
          <w:lang w:val="en-US" w:eastAsia="zh-CN"/>
        </w:rPr>
        <w:t>7.</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leftChars="0"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公司《计量工作质量目标管理程序》，规定了公司的计量方针及5项质量目标 ，是管理体系追求的承诺和准则，内容基本覆盖标准要素。公司将质量目标考核细则已纳入员工绩效考核表，进一步体现了实现顾客、质量、服务等方面的要求，符合GB/T 19022-2003标准要</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经2020年1月10日，统计考核，各部门均完成目标。</w:t>
      </w:r>
    </w:p>
    <w:p>
      <w:pPr>
        <w:widowControl/>
        <w:numPr>
          <w:ilvl w:val="0"/>
          <w:numId w:val="0"/>
        </w:numPr>
        <w:spacing w:line="360" w:lineRule="auto"/>
        <w:rPr>
          <w:rFonts w:hint="eastAsia" w:asciiTheme="minorEastAsia" w:hAnsiTheme="minorEastAsia"/>
          <w:bCs/>
          <w:szCs w:val="21"/>
        </w:rPr>
      </w:pPr>
      <w:r>
        <w:rPr>
          <w:rFonts w:hint="eastAsia" w:asciiTheme="minorEastAsia" w:hAnsiTheme="minorEastAsia"/>
          <w:bCs/>
          <w:szCs w:val="21"/>
          <w:lang w:val="en-US" w:eastAsia="zh-CN"/>
        </w:rPr>
        <w:t>9</w:t>
      </w: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cs="宋体" w:asciiTheme="minorEastAsia" w:hAnsiTheme="minorEastAsia"/>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ascii="宋体" w:hAnsi="宋体" w:eastAsia="宋体" w:cs="宋体"/>
          <w:kern w:val="0"/>
          <w:szCs w:val="21"/>
        </w:rPr>
      </w:pPr>
      <w:r>
        <w:rPr>
          <w:rFonts w:hint="eastAsia" w:ascii="宋体" w:hAnsi="宋体" w:eastAsia="宋体" w:cs="宋体"/>
          <w:kern w:val="0"/>
          <w:szCs w:val="21"/>
          <w:lang w:val="en-US" w:eastAsia="zh-CN"/>
        </w:rPr>
        <w:t>11</w:t>
      </w:r>
      <w:r>
        <w:rPr>
          <w:rFonts w:hint="eastAsia" w:ascii="宋体" w:hAnsi="宋体" w:eastAsia="宋体" w:cs="宋体"/>
          <w:kern w:val="0"/>
          <w:szCs w:val="21"/>
        </w:rPr>
        <w:t>. 本次监督审核共出具一般不符合</w:t>
      </w:r>
      <w:r>
        <w:rPr>
          <w:rFonts w:hint="eastAsia" w:ascii="宋体" w:hAnsi="宋体" w:eastAsia="宋体" w:cs="宋体"/>
          <w:color w:val="000000" w:themeColor="text1"/>
          <w:kern w:val="0"/>
          <w:szCs w:val="21"/>
          <w:lang w:val="en-US" w:eastAsia="zh-CN"/>
        </w:rPr>
        <w:t>项0项</w:t>
      </w:r>
      <w:r>
        <w:rPr>
          <w:rFonts w:hint="eastAsia" w:ascii="宋体" w:hAnsi="宋体" w:eastAsia="宋体" w:cs="宋体"/>
          <w:kern w:val="0"/>
          <w:szCs w:val="21"/>
        </w:rPr>
        <w:t>，未发现严重的或系统性的不符合情况：</w:t>
      </w:r>
    </w:p>
    <w:p>
      <w:pPr>
        <w:pStyle w:val="9"/>
        <w:rPr>
          <w:rFonts w:hint="eastAsia"/>
        </w:rPr>
      </w:pPr>
    </w:p>
    <w:p>
      <w:pPr>
        <w:widowControl/>
        <w:spacing w:line="360"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通过2020年05月27</w:t>
      </w:r>
      <w:r>
        <w:rPr>
          <w:rFonts w:hint="eastAsia" w:ascii="宋体" w:hAnsi="宋体" w:eastAsia="宋体" w:cs="宋体"/>
          <w:bCs/>
          <w:kern w:val="0"/>
          <w:szCs w:val="21"/>
          <w:lang w:val="en-US" w:eastAsia="zh-CN"/>
        </w:rPr>
        <w:t>-</w:t>
      </w:r>
      <w:r>
        <w:rPr>
          <w:rFonts w:hint="eastAsia" w:ascii="宋体" w:hAnsi="宋体" w:eastAsia="宋体" w:cs="宋体"/>
          <w:bCs/>
          <w:kern w:val="0"/>
          <w:szCs w:val="21"/>
          <w:lang w:eastAsia="zh-CN"/>
        </w:rPr>
        <w:t>28日上午</w:t>
      </w:r>
      <w:r>
        <w:rPr>
          <w:rFonts w:hint="eastAsia" w:ascii="宋体" w:hAnsi="宋体" w:eastAsia="宋体" w:cs="宋体"/>
          <w:bCs/>
          <w:kern w:val="0"/>
          <w:szCs w:val="21"/>
        </w:rPr>
        <w:t>对</w:t>
      </w:r>
      <w:r>
        <w:rPr>
          <w:rFonts w:hint="eastAsia" w:ascii="宋体" w:hAnsi="宋体" w:eastAsia="宋体"/>
          <w:szCs w:val="21"/>
          <w:lang w:eastAsia="zh-CN"/>
        </w:rPr>
        <w:t>江苏海岸药业有限公司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江苏海岸药业有限公司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276" w:lineRule="auto"/>
        <w:ind w:right="945"/>
        <w:jc w:val="both"/>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rPr>
          <w:rFonts w:hint="eastAsia" w:eastAsiaTheme="minorEastAsia"/>
          <w:lang w:eastAsia="zh-CN"/>
        </w:rPr>
        <w:drawing>
          <wp:anchor distT="0" distB="0" distL="114300" distR="114300" simplePos="0" relativeHeight="251786240" behindDoc="0" locked="0" layoutInCell="1" allowOverlap="1">
            <wp:simplePos x="0" y="0"/>
            <wp:positionH relativeFrom="column">
              <wp:posOffset>3058795</wp:posOffset>
            </wp:positionH>
            <wp:positionV relativeFrom="paragraph">
              <wp:posOffset>56515</wp:posOffset>
            </wp:positionV>
            <wp:extent cx="393065" cy="502285"/>
            <wp:effectExtent l="0" t="0" r="5715" b="635"/>
            <wp:wrapNone/>
            <wp:docPr id="44" name="图片 44" descr="55b056e222cdfbffb12cc6acce1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55b056e222cdfbffb12cc6acce12955"/>
                    <pic:cNvPicPr>
                      <a:picLocks noChangeAspect="1"/>
                    </pic:cNvPicPr>
                  </pic:nvPicPr>
                  <pic:blipFill>
                    <a:blip r:embed="rId6"/>
                    <a:stretch>
                      <a:fillRect/>
                    </a:stretch>
                  </pic:blipFill>
                  <pic:spPr>
                    <a:xfrm rot="16200000">
                      <a:off x="0" y="0"/>
                      <a:ext cx="393065" cy="50228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2297430</wp:posOffset>
            </wp:positionH>
            <wp:positionV relativeFrom="paragraph">
              <wp:posOffset>139065</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2905" cy="302895"/>
                    </a:xfrm>
                    <a:prstGeom prst="rect">
                      <a:avLst/>
                    </a:prstGeom>
                    <a:noFill/>
                    <a:ln>
                      <a:noFill/>
                    </a:ln>
                  </pic:spPr>
                </pic:pic>
              </a:graphicData>
            </a:graphic>
          </wp:anchor>
        </w:drawing>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2020.5.28</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0C8057"/>
    <w:multiLevelType w:val="singleLevel"/>
    <w:tmpl w:val="FD0C805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EC1A40"/>
    <w:rsid w:val="20E468FB"/>
    <w:rsid w:val="2FD96752"/>
    <w:rsid w:val="63966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 w:type="paragraph" w:styleId="10">
    <w:name w:val="List Paragraph"/>
    <w:basedOn w:val="1"/>
    <w:unhideWhenUsed/>
    <w:qFormat/>
    <w:uiPriority w:val="99"/>
    <w:pPr>
      <w:ind w:firstLine="420" w:firstLineChars="200"/>
    </w:p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2020-06-18T14:08:10Z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