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</w:t>
      </w:r>
      <w:r>
        <w:rPr>
          <w:rFonts w:hint="eastAsia"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>号</w:t>
      </w:r>
      <w:r>
        <w:rPr>
          <w:rFonts w:hint="eastAsia" w:ascii="Times New Roman" w:hAnsi="Times New Roman" w:cs="Times New Roman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0028-2019-2020</w:t>
      </w:r>
      <w:bookmarkEnd w:id="0"/>
    </w:p>
    <w:p>
      <w:pPr>
        <w:spacing w:before="240" w:after="240"/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6"/>
        <w:tblW w:w="89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1"/>
        <w:gridCol w:w="790"/>
        <w:gridCol w:w="1240"/>
        <w:gridCol w:w="1090"/>
        <w:gridCol w:w="183"/>
        <w:gridCol w:w="1397"/>
        <w:gridCol w:w="910"/>
        <w:gridCol w:w="710"/>
        <w:gridCol w:w="14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951" w:type="dxa"/>
            <w:gridSpan w:val="2"/>
            <w:vAlign w:val="center"/>
          </w:tcPr>
          <w:p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 w:ascii="Times New Roman" w:hAnsi="Times New Roman" w:cs="Times New Roman"/>
              </w:rPr>
              <w:t>注射用水pH值测定过程</w:t>
            </w:r>
          </w:p>
        </w:tc>
        <w:tc>
          <w:tcPr>
            <w:tcW w:w="2307" w:type="dxa"/>
            <w:gridSpan w:val="2"/>
            <w:vAlign w:val="center"/>
          </w:tcPr>
          <w:p>
            <w:r>
              <w:rPr>
                <w:rFonts w:hint="eastAsia"/>
              </w:rPr>
              <w:t>被测参数要求(含公差)</w:t>
            </w:r>
          </w:p>
        </w:tc>
        <w:tc>
          <w:tcPr>
            <w:tcW w:w="2159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（</w:t>
            </w:r>
            <w:r>
              <w:rPr>
                <w:rFonts w:hint="eastAsia"/>
                <w:color w:val="000000" w:themeColor="text1"/>
                <w:lang w:val="en-US" w:eastAsia="zh-CN"/>
              </w:rPr>
              <w:t>6</w:t>
            </w:r>
            <w:r>
              <w:rPr>
                <w:rFonts w:hint="eastAsia"/>
                <w:color w:val="000000" w:themeColor="text1"/>
              </w:rPr>
              <w:t>±</w:t>
            </w:r>
            <w:r>
              <w:rPr>
                <w:rFonts w:hint="eastAsia"/>
                <w:color w:val="000000" w:themeColor="text1"/>
                <w:lang w:val="en-US" w:eastAsia="zh-CN"/>
              </w:rPr>
              <w:t>1</w:t>
            </w:r>
            <w:r>
              <w:rPr>
                <w:rFonts w:hint="eastAsia"/>
                <w:color w:val="000000" w:themeColor="text1"/>
              </w:rPr>
              <w:t xml:space="preserve">）pH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4464" w:type="dxa"/>
            <w:gridSpan w:val="5"/>
            <w:vAlign w:val="center"/>
          </w:tcPr>
          <w:p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466" w:type="dxa"/>
            <w:gridSpan w:val="4"/>
            <w:vAlign w:val="center"/>
          </w:tcPr>
          <w:p>
            <w:r>
              <w:rPr>
                <w:rFonts w:asciiTheme="minorEastAsia" w:hAnsiTheme="minorEastAsia"/>
                <w:color w:val="000000" w:themeColor="text1"/>
              </w:rPr>
              <w:t>2015</w:t>
            </w:r>
            <w:r>
              <w:rPr>
                <w:rFonts w:hint="eastAsia" w:asciiTheme="minorEastAsia" w:hAnsiTheme="minorEastAsia"/>
                <w:color w:val="000000" w:themeColor="text1"/>
              </w:rPr>
              <w:t>年版药典四部0631pH测定法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8" w:hRule="atLeast"/>
        </w:trPr>
        <w:tc>
          <w:tcPr>
            <w:tcW w:w="8930" w:type="dxa"/>
            <w:gridSpan w:val="9"/>
          </w:tcPr>
          <w:p>
            <w:r>
              <w:rPr>
                <w:rFonts w:hint="eastAsia"/>
              </w:rPr>
              <w:t>计量要求导出方法（可另附）</w:t>
            </w:r>
          </w:p>
          <w:p>
            <w:pPr>
              <w:rPr>
                <w:rFonts w:ascii="宋体"/>
                <w:color w:val="FF0000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eastAsia"/>
              </w:rPr>
              <w:t>根据5-030005《制药用水系统水质检测管理规程》要求，注射用水的pH值需控制在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6±1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rFonts w:hint="eastAsia"/>
              </w:rPr>
              <w:t>pH范围内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  <w:lang w:val="en-US" w:eastAsia="zh-CN"/>
              </w:rPr>
              <w:t>测量pH值的最大允许误差为</w:t>
            </w:r>
            <w:r>
              <w:rPr>
                <w:rFonts w:hint="eastAsia" w:ascii="宋体" w:hAnsi="宋体"/>
              </w:rPr>
              <w:t>△允</w:t>
            </w:r>
            <w:r>
              <w:rPr>
                <w:rFonts w:ascii="宋体" w:hAnsi="宋体"/>
              </w:rPr>
              <w:t xml:space="preserve"> =T</w:t>
            </w:r>
            <w:r>
              <w:rPr>
                <w:rFonts w:hint="eastAsia" w:ascii="宋体" w:hAnsi="宋体"/>
              </w:rPr>
              <w:t>×（</w:t>
            </w:r>
            <w:r>
              <w:rPr>
                <w:rFonts w:ascii="宋体" w:hAnsi="宋体"/>
              </w:rPr>
              <w:t>1/3-1/10</w:t>
            </w:r>
            <w:r>
              <w:rPr>
                <w:rFonts w:hint="eastAsia" w:ascii="宋体" w:hAnsi="宋体"/>
              </w:rPr>
              <w:t>）</w:t>
            </w:r>
            <w:r>
              <w:rPr>
                <w:rFonts w:ascii="宋体" w:hAnsi="宋体"/>
              </w:rPr>
              <w:t>=</w:t>
            </w:r>
            <w:r>
              <w:rPr>
                <w:rFonts w:hint="eastAsia" w:ascii="宋体" w:hAnsi="宋体"/>
                <w:lang w:val="en-US" w:eastAsia="zh-CN"/>
              </w:rPr>
              <w:t>1</w:t>
            </w:r>
            <w:r>
              <w:rPr>
                <w:rFonts w:hint="eastAsia" w:ascii="宋体" w:hAnsi="宋体"/>
              </w:rPr>
              <w:t>×</w:t>
            </w:r>
            <w:r>
              <w:rPr>
                <w:rFonts w:ascii="宋体" w:hAnsi="宋体"/>
              </w:rPr>
              <w:t>1/</w:t>
            </w:r>
            <w:r>
              <w:rPr>
                <w:rFonts w:hint="eastAsia" w:ascii="宋体" w:hAnsi="宋体"/>
                <w:lang w:val="en-US" w:eastAsia="zh-CN"/>
              </w:rPr>
              <w:t>10</w:t>
            </w:r>
            <w:r>
              <w:rPr>
                <w:rFonts w:ascii="宋体" w:hAnsi="宋体"/>
              </w:rPr>
              <w:t>=</w:t>
            </w:r>
            <w:r>
              <w:rPr>
                <w:rFonts w:hint="eastAsia" w:ascii="宋体" w:hAnsi="宋体"/>
              </w:rPr>
              <w:t>±0.</w:t>
            </w:r>
            <w:r>
              <w:rPr>
                <w:rFonts w:hint="eastAsia" w:ascii="宋体" w:hAnsi="宋体"/>
                <w:lang w:val="en-US" w:eastAsia="zh-CN"/>
              </w:rPr>
              <w:t>1</w:t>
            </w:r>
            <w:r>
              <w:rPr>
                <w:rFonts w:hint="eastAsia"/>
                <w:lang w:val="en-US" w:eastAsia="zh-CN"/>
              </w:rPr>
              <w:t>pH</w:t>
            </w:r>
            <w:r>
              <w:rPr>
                <w:rFonts w:hint="eastAsia" w:ascii="宋体" w:hAnsi="宋体"/>
              </w:rPr>
              <w:t>（取</w:t>
            </w:r>
            <w:r>
              <w:rPr>
                <w:rFonts w:ascii="宋体" w:hAnsi="宋体"/>
              </w:rPr>
              <w:t>1/</w:t>
            </w:r>
            <w:r>
              <w:rPr>
                <w:rFonts w:hint="eastAsia" w:ascii="宋体" w:hAnsi="宋体"/>
                <w:lang w:val="en-US" w:eastAsia="zh-CN"/>
              </w:rPr>
              <w:t>10</w:t>
            </w:r>
            <w:r>
              <w:rPr>
                <w:rFonts w:hint="eastAsia" w:ascii="宋体" w:hAnsi="宋体"/>
              </w:rPr>
              <w:t>）；</w:t>
            </w:r>
          </w:p>
          <w:p>
            <w:pPr>
              <w:pStyle w:val="13"/>
              <w:ind w:left="0" w:leftChars="0" w:firstLine="0" w:firstLineChars="0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2.选择SEVEN EASY型酸度计，测量范围：0～14，</w:t>
            </w:r>
            <w:r>
              <w:rPr>
                <w:rFonts w:hint="eastAsia"/>
                <w:color w:val="000000" w:themeColor="text1"/>
              </w:rPr>
              <w:t>0</w:t>
            </w:r>
            <w:r>
              <w:rPr>
                <w:color w:val="000000" w:themeColor="text1"/>
              </w:rPr>
              <w:t>.01</w:t>
            </w:r>
            <w:r>
              <w:rPr>
                <w:rFonts w:hint="eastAsia"/>
                <w:color w:val="000000" w:themeColor="text1"/>
              </w:rPr>
              <w:t>级</w:t>
            </w:r>
            <w:r>
              <w:rPr>
                <w:color w:val="000000" w:themeColor="text1"/>
              </w:rPr>
              <w:t>pH</w:t>
            </w:r>
            <w:r>
              <w:rPr>
                <w:rFonts w:hint="eastAsia"/>
                <w:color w:val="000000" w:themeColor="text1"/>
              </w:rPr>
              <w:t>计的示值误差为±0.02</w:t>
            </w:r>
            <w:r>
              <w:rPr>
                <w:color w:val="000000" w:themeColor="text1"/>
              </w:rPr>
              <w:t xml:space="preserve"> pH</w:t>
            </w:r>
            <w:r>
              <w:rPr>
                <w:rFonts w:hint="eastAsia" w:asciiTheme="minorEastAsia" w:hAnsiTheme="minorEastAsia"/>
                <w:color w:val="000000" w:themeColor="text1"/>
              </w:rPr>
              <w:t>，满足要求。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161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计量校准</w:t>
            </w:r>
          </w:p>
          <w:p>
            <w:pPr>
              <w:jc w:val="center"/>
            </w:pPr>
            <w:r>
              <w:rPr>
                <w:rFonts w:hint="eastAsia"/>
              </w:rPr>
              <w:t>过程</w:t>
            </w:r>
          </w:p>
        </w:tc>
        <w:tc>
          <w:tcPr>
            <w:tcW w:w="203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测量设备名称</w:t>
            </w:r>
            <w:r>
              <w:rPr>
                <w:rFonts w:hint="eastAsia" w:ascii="Times New Roman" w:hAnsi="Times New Roman" w:eastAsia="楷体_GB2312"/>
                <w:sz w:val="24"/>
                <w:szCs w:val="24"/>
                <w:lang w:val="en-US" w:eastAsia="zh-CN"/>
              </w:rPr>
              <w:t>编号</w:t>
            </w:r>
          </w:p>
        </w:tc>
        <w:tc>
          <w:tcPr>
            <w:tcW w:w="109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型号规格</w:t>
            </w:r>
          </w:p>
        </w:tc>
        <w:tc>
          <w:tcPr>
            <w:tcW w:w="158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设备特性</w:t>
            </w:r>
          </w:p>
          <w:p>
            <w:pPr>
              <w:jc w:val="center"/>
            </w:pPr>
            <w:r>
              <w:rPr>
                <w:rFonts w:hint="eastAsia"/>
              </w:rPr>
              <w:t>(示值误差等)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校准证书编号</w:t>
            </w:r>
          </w:p>
        </w:tc>
        <w:tc>
          <w:tcPr>
            <w:tcW w:w="144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校准日期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161" w:type="dxa"/>
            <w:vMerge w:val="continue"/>
          </w:tcPr>
          <w:p/>
        </w:tc>
        <w:tc>
          <w:tcPr>
            <w:tcW w:w="203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lang w:val="en-US" w:eastAsia="zh-CN"/>
              </w:rPr>
              <w:t>pH测定仪（</w:t>
            </w:r>
            <w:r>
              <w:rPr>
                <w:rFonts w:hint="eastAsia" w:ascii="宋体" w:hAnsi="宋体" w:eastAsia="宋体" w:cs="宋体"/>
                <w:color w:val="000000" w:themeColor="text1"/>
                <w:lang w:val="zh-CN"/>
              </w:rPr>
              <w:t>1229485148</w:t>
            </w:r>
            <w:r>
              <w:rPr>
                <w:rFonts w:hint="eastAsia" w:ascii="宋体" w:hAnsi="宋体" w:eastAsia="宋体" w:cs="宋体"/>
                <w:color w:val="000000" w:themeColor="text1"/>
                <w:lang w:val="en-US" w:eastAsia="zh-CN"/>
              </w:rPr>
              <w:t>）</w:t>
            </w:r>
          </w:p>
        </w:tc>
        <w:tc>
          <w:tcPr>
            <w:tcW w:w="10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lang w:val="zh-CN"/>
              </w:rPr>
              <w:t>WH-084</w:t>
            </w:r>
          </w:p>
        </w:tc>
        <w:tc>
          <w:tcPr>
            <w:tcW w:w="158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</w:rPr>
              <w:t>±0.02pH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</w:rPr>
              <w:t>900586292</w:t>
            </w:r>
          </w:p>
        </w:tc>
        <w:tc>
          <w:tcPr>
            <w:tcW w:w="144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</w:rPr>
              <w:t>20</w:t>
            </w:r>
            <w:r>
              <w:rPr>
                <w:rFonts w:hint="eastAsia" w:ascii="宋体" w:hAnsi="宋体" w:eastAsia="宋体" w:cs="宋体"/>
                <w:color w:val="000000" w:themeColor="text1"/>
                <w:lang w:val="en-US" w:eastAsia="zh-CN"/>
              </w:rPr>
              <w:t>19</w:t>
            </w:r>
            <w:r>
              <w:rPr>
                <w:rFonts w:hint="eastAsia" w:ascii="宋体" w:hAnsi="宋体" w:eastAsia="宋体" w:cs="宋体"/>
                <w:color w:val="000000" w:themeColor="text1"/>
              </w:rPr>
              <w:t>.</w:t>
            </w:r>
            <w:r>
              <w:rPr>
                <w:rFonts w:hint="eastAsia" w:ascii="宋体" w:hAnsi="宋体" w:eastAsia="宋体" w:cs="宋体"/>
                <w:color w:val="000000" w:themeColor="text1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color w:val="000000" w:themeColor="text1"/>
              </w:rPr>
              <w:t>.</w:t>
            </w:r>
            <w:r>
              <w:rPr>
                <w:rFonts w:hint="eastAsia" w:ascii="宋体" w:hAnsi="宋体" w:eastAsia="宋体" w:cs="宋体"/>
                <w:color w:val="000000" w:themeColor="text1"/>
                <w:lang w:val="en-US" w:eastAsia="zh-CN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6" w:hRule="atLeast"/>
        </w:trPr>
        <w:tc>
          <w:tcPr>
            <w:tcW w:w="8930" w:type="dxa"/>
            <w:gridSpan w:val="9"/>
          </w:tcPr>
          <w:p>
            <w:r>
              <w:rPr>
                <w:rFonts w:hint="eastAsia"/>
              </w:rPr>
              <w:t>计量验证记录</w:t>
            </w:r>
          </w:p>
          <w:p>
            <w:pPr>
              <w:spacing w:line="324" w:lineRule="auto"/>
              <w:ind w:firstLine="420" w:firstLineChars="200"/>
              <w:rPr>
                <w:rFonts w:hint="eastAsia" w:ascii="宋体" w:hAnsi="宋体" w:eastAsia="宋体" w:cs="宋体"/>
              </w:rPr>
            </w:pPr>
          </w:p>
          <w:p>
            <w:pPr>
              <w:spacing w:line="324" w:lineRule="auto"/>
              <w:ind w:firstLine="420" w:firstLineChars="20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根据5-030005《制药用水系统水质检测管理规程》要求，注射用水的pH值需控制在</w:t>
            </w:r>
            <w:r>
              <w:rPr>
                <w:rFonts w:hint="eastAsia" w:ascii="宋体" w:hAnsi="宋体" w:eastAsia="宋体" w:cs="宋体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6±1</w:t>
            </w:r>
            <w:r>
              <w:rPr>
                <w:rFonts w:hint="eastAsia" w:ascii="宋体" w:hAnsi="宋体" w:eastAsia="宋体" w:cs="宋体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</w:rPr>
              <w:t>pH范围内</w:t>
            </w:r>
            <w:r>
              <w:rPr>
                <w:rFonts w:hint="eastAsia" w:ascii="宋体" w:hAnsi="宋体" w:eastAsia="宋体" w:cs="宋体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编号：</w:t>
            </w:r>
            <w:r>
              <w:rPr>
                <w:rFonts w:hint="eastAsia" w:ascii="宋体" w:hAnsi="宋体" w:eastAsia="宋体" w:cs="宋体"/>
                <w:lang w:eastAsia="zh-CN"/>
              </w:rPr>
              <w:t>1229485148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zh-CN"/>
              </w:rPr>
              <w:t>p</w:t>
            </w:r>
            <w:r>
              <w:rPr>
                <w:rFonts w:hint="eastAsia" w:ascii="宋体" w:hAnsi="宋体" w:eastAsia="宋体" w:cs="宋体"/>
                <w:lang w:val="zh-CN"/>
              </w:rPr>
              <w:t>H测定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仪经</w:t>
            </w:r>
            <w:r>
              <w:rPr>
                <w:rFonts w:hint="eastAsia" w:ascii="宋体" w:hAnsi="宋体" w:eastAsia="宋体" w:cs="宋体"/>
              </w:rPr>
              <w:t>20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19</w:t>
            </w:r>
            <w:r>
              <w:rPr>
                <w:rFonts w:hint="eastAsia" w:ascii="宋体" w:hAnsi="宋体" w:eastAsia="宋体" w:cs="宋体"/>
              </w:rPr>
              <w:t>.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</w:rPr>
              <w:t>.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12检定为</w:t>
            </w:r>
            <w:r>
              <w:rPr>
                <w:rFonts w:hint="eastAsia" w:ascii="宋体" w:hAnsi="宋体" w:eastAsia="宋体" w:cs="宋体"/>
              </w:rPr>
              <w:t>0.01级示值误差为</w:t>
            </w:r>
            <w:r>
              <w:rPr>
                <w:rFonts w:hint="eastAsia" w:ascii="宋体" w:hAnsi="宋体" w:eastAsia="宋体" w:cs="宋体"/>
                <w:color w:val="000000" w:themeColor="text1"/>
              </w:rPr>
              <w:t>±0.02pH，</w:t>
            </w:r>
            <w:r>
              <w:rPr>
                <w:rFonts w:hint="eastAsia" w:ascii="宋体" w:hAnsi="宋体" w:eastAsia="宋体" w:cs="宋体"/>
                <w:color w:val="000000"/>
              </w:rPr>
              <w:t>将测量过程的计量要求与测量设备的计量特性相比较，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满足测量过程的计量要求。</w:t>
            </w:r>
          </w:p>
          <w:p/>
          <w:p/>
          <w:p>
            <w:pPr>
              <w:rPr>
                <w:szCs w:val="21"/>
              </w:rPr>
            </w:pPr>
            <w:r>
              <w:rPr>
                <w:rFonts w:hint="eastAsia"/>
              </w:rPr>
              <w:t xml:space="preserve">验证结论：   </w:t>
            </w: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 xml:space="preserve">合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有缺陷 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         （注：在选项上打</w:t>
            </w:r>
            <w:r>
              <w:rPr>
                <w:rFonts w:hint="eastAsia" w:ascii="宋体" w:hAnsi="宋体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lang w:val="en-US" w:eastAsia="zh-CN"/>
              </w:rPr>
              <w:drawing>
                <wp:anchor distT="0" distB="0" distL="114300" distR="114300" simplePos="0" relativeHeight="252869632" behindDoc="0" locked="0" layoutInCell="1" allowOverlap="1">
                  <wp:simplePos x="0" y="0"/>
                  <wp:positionH relativeFrom="column">
                    <wp:posOffset>1003300</wp:posOffset>
                  </wp:positionH>
                  <wp:positionV relativeFrom="paragraph">
                    <wp:posOffset>135890</wp:posOffset>
                  </wp:positionV>
                  <wp:extent cx="325120" cy="248285"/>
                  <wp:effectExtent l="0" t="0" r="5080" b="5715"/>
                  <wp:wrapNone/>
                  <wp:docPr id="67" name="图片 67" descr="fcb53b94dd93bccdb4c6266d9e17b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" name="图片 67" descr="fcb53b94dd93bccdb4c6266d9e17b28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l="19931" t="9542" r="20619" b="707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5120" cy="2482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r>
              <w:rPr>
                <w:rFonts w:hint="eastAsia"/>
              </w:rPr>
              <w:t>验证人员签字：                                      验证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日期：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2020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年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 xml:space="preserve">5 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27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0" w:hRule="atLeast"/>
        </w:trPr>
        <w:tc>
          <w:tcPr>
            <w:tcW w:w="8930" w:type="dxa"/>
            <w:gridSpan w:val="9"/>
          </w:tcPr>
          <w:p>
            <w:r>
              <w:rPr>
                <w:rFonts w:hint="eastAsia"/>
              </w:rPr>
              <w:t>认证审核记录：</w:t>
            </w:r>
          </w:p>
          <w:p>
            <w:pPr>
              <w:ind w:firstLine="420" w:firstLineChars="200"/>
              <w:rPr>
                <w:rFonts w:hint="eastAsia"/>
              </w:rPr>
            </w:pPr>
          </w:p>
          <w:p>
            <w:pPr>
              <w:ind w:firstLine="420" w:firstLineChars="200"/>
              <w:rPr>
                <w:rFonts w:hint="eastAsia"/>
              </w:rPr>
            </w:pPr>
          </w:p>
          <w:p>
            <w:pPr>
              <w:ind w:firstLine="420" w:firstLineChars="200"/>
            </w:pPr>
            <w:r>
              <w:rPr>
                <w:rFonts w:hint="eastAsia"/>
              </w:rPr>
              <w:t>该测量过程被测参数要求识别代表了“顾客”的要求，计量要求导出方法正确，测量设备的配备满足计量要求，测量设备经过校准，测量设备验证方法正确。</w:t>
            </w:r>
          </w:p>
          <w:p>
            <w:r>
              <w:rPr>
                <w:rFonts w:hint="eastAsia" w:eastAsiaTheme="minorEastAsia"/>
                <w:lang w:eastAsia="zh-CN"/>
              </w:rPr>
              <w:drawing>
                <wp:anchor distT="0" distB="0" distL="114300" distR="114300" simplePos="0" relativeHeight="252995584" behindDoc="0" locked="0" layoutInCell="1" allowOverlap="1">
                  <wp:simplePos x="0" y="0"/>
                  <wp:positionH relativeFrom="column">
                    <wp:posOffset>1055370</wp:posOffset>
                  </wp:positionH>
                  <wp:positionV relativeFrom="paragraph">
                    <wp:posOffset>135890</wp:posOffset>
                  </wp:positionV>
                  <wp:extent cx="278765" cy="356235"/>
                  <wp:effectExtent l="0" t="0" r="12065" b="635"/>
                  <wp:wrapNone/>
                  <wp:docPr id="44" name="图片 44" descr="55b056e222cdfbffb12cc6acce129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图片 44" descr="55b056e222cdfbffb12cc6acce12955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278765" cy="3562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r>
              <w:rPr>
                <w:rFonts w:hint="eastAsia"/>
              </w:rPr>
              <w:t>审核员</w:t>
            </w:r>
            <w:r>
              <w:rPr>
                <w:rFonts w:hint="eastAsia"/>
                <w:szCs w:val="21"/>
              </w:rPr>
              <w:t>签字</w:t>
            </w:r>
            <w:r>
              <w:rPr>
                <w:rFonts w:hint="eastAsia"/>
              </w:rPr>
              <w:t>：</w:t>
            </w:r>
          </w:p>
          <w:p/>
          <w:p>
            <w:pPr>
              <w:rPr>
                <w:szCs w:val="21"/>
              </w:rPr>
            </w:pPr>
            <w:bookmarkStart w:id="1" w:name="_GoBack"/>
            <w:r>
              <w:rPr>
                <w:rFonts w:hint="eastAsia"/>
                <w:lang w:val="en-US" w:eastAsia="zh-CN"/>
              </w:rPr>
              <w:drawing>
                <wp:anchor distT="0" distB="0" distL="114300" distR="114300" simplePos="0" relativeHeight="255420416" behindDoc="0" locked="0" layoutInCell="1" allowOverlap="1">
                  <wp:simplePos x="0" y="0"/>
                  <wp:positionH relativeFrom="column">
                    <wp:posOffset>1043305</wp:posOffset>
                  </wp:positionH>
                  <wp:positionV relativeFrom="paragraph">
                    <wp:posOffset>11430</wp:posOffset>
                  </wp:positionV>
                  <wp:extent cx="596900" cy="444500"/>
                  <wp:effectExtent l="0" t="0" r="0" b="0"/>
                  <wp:wrapNone/>
                  <wp:docPr id="68" name="图片 68" descr="fcb53b94dd93bccdb4c6266d9e17b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" name="图片 68" descr="fcb53b94dd93bccdb4c6266d9e17b28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l="13952" t="41605" r="21443" b="3749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6900" cy="444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bookmarkEnd w:id="1"/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                                 审核日期：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2020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年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 xml:space="preserve">5 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27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日</w:t>
            </w: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sectPr>
      <w:headerReference r:id="rId3" w:type="default"/>
      <w:footerReference r:id="rId4" w:type="default"/>
      <w:pgSz w:w="11906" w:h="16838"/>
      <w:pgMar w:top="1440" w:right="1800" w:bottom="778" w:left="1800" w:header="397" w:footer="57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88.9pt;margin-top:2.15pt;height:34.05pt;width:144.7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</w:t>
                </w:r>
              </w:p>
              <w:p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计量验证记录表（0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line id="_x0000_s4098" o:spid="_x0000_s4098" o:spt="20" style="position:absolute;left:0pt;margin-left:-0.45pt;margin-top:3pt;height:0pt;width:425.25pt;z-index:251659264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1792578"/>
    <w:rsid w:val="15784BBC"/>
    <w:rsid w:val="29161DF0"/>
    <w:rsid w:val="2A3C667B"/>
    <w:rsid w:val="36843072"/>
    <w:rsid w:val="5292581D"/>
    <w:rsid w:val="5FB27844"/>
    <w:rsid w:val="6C5459CD"/>
    <w:rsid w:val="7FDF37D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字符"/>
    <w:basedOn w:val="7"/>
    <w:link w:val="2"/>
    <w:semiHidden/>
    <w:qFormat/>
    <w:uiPriority w:val="99"/>
    <w:rPr>
      <w:kern w:val="2"/>
      <w:sz w:val="18"/>
      <w:szCs w:val="18"/>
    </w:rPr>
  </w:style>
  <w:style w:type="paragraph" w:customStyle="1" w:styleId="13">
    <w:name w:val="列出段落2"/>
    <w:basedOn w:val="1"/>
    <w:unhideWhenUsed/>
    <w:qFormat/>
    <w:uiPriority w:val="99"/>
    <w:pPr>
      <w:ind w:firstLine="420" w:firstLineChars="200"/>
    </w:pPr>
  </w:style>
  <w:style w:type="paragraph" w:styleId="14">
    <w:name w:val="List Paragraph"/>
    <w:basedOn w:val="1"/>
    <w:qFormat/>
    <w:uiPriority w:val="0"/>
    <w:pPr>
      <w:widowControl w:val="0"/>
      <w:ind w:firstLine="420" w:firstLineChars="200"/>
      <w:jc w:val="both"/>
    </w:pPr>
    <w:rPr>
      <w:rFonts w:ascii="Calibri" w:hAnsi="Calibri" w:cs="Times New Roman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</Words>
  <Characters>381</Characters>
  <Lines>3</Lines>
  <Paragraphs>1</Paragraphs>
  <TotalTime>0</TotalTime>
  <ScaleCrop>false</ScaleCrop>
  <LinksUpToDate>false</LinksUpToDate>
  <CharactersWithSpaces>446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2015-10-14T00:38:00Z</dcterms:created>
  <dc:creator>alexander chang</dc:creator>
  <cp:lastModifiedBy>LIL</cp:lastModifiedBy>
  <cp:lastPrinted>2017-02-16T05:50:00Z</cp:lastPrinted>
  <dcterms:modified xsi:type="dcterms:W3CDTF">2020-06-18T14:16:00Z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