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深圳市德邦电子商务有限公司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2024-06-09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深圳市龙华区民治街道民新社区华南物流9号仓三楼1区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深圳市龙华区民治街道民新社区华南物流9号仓三楼1区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2024年07月06日 上午至2024年07月06日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