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南京田果农业科技有限公司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南京市溧水区白马镇白马村草屋里</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210000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南京市溧水区白马镇白马村草屋里</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210000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91320117302694298P</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13276650518</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田金树</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田金树</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20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GB/T27341-2009/GB14881-2013</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饮料（果蔬汁类及其饮料）的生产</w:t>
      </w:r>
      <w:bookmarkEnd w:id="14"/>
      <w:bookmarkStart w:id="15" w:name="_GoBack"/>
      <w:bookmarkStart w:id="16" w:name="审核范围英"/>
      <w:r>
        <w:rPr>
          <w:rFonts w:hint="eastAsia"/>
          <w:b/>
          <w:color w:val="000000" w:themeColor="text1"/>
          <w:sz w:val="22"/>
          <w:szCs w:val="22"/>
        </w:rPr>
        <w:t>饮料（果蔬汁类及其饮料）的生产</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