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24"/>
        <w:gridCol w:w="594"/>
        <w:gridCol w:w="425"/>
        <w:gridCol w:w="425"/>
        <w:gridCol w:w="15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简阳绿杉新能源设备有限公司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18381420247</w:t>
            </w:r>
            <w:bookmarkEnd w:id="6"/>
          </w:p>
        </w:tc>
        <w:tc>
          <w:tcPr>
            <w:tcW w:w="10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李洪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9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1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E：空气分离设备、天然气净化及液化设备、生物医药设备的销售所涉及场所的相关环境管理活动</w:t>
            </w:r>
          </w:p>
          <w:p>
            <w:r>
              <w:t>Q：空气分离设备、天然气净化及液化设备、生物医药设备的销售</w:t>
            </w:r>
          </w:p>
          <w:p>
            <w:r>
              <w:t>O：空气分离设备、天然气净化及液化设备、生物医药设备的销售所涉及场所的相关职业健康安全管理活动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E：29.10.07</w:t>
            </w:r>
          </w:p>
          <w:p>
            <w:r>
              <w:t>Q：29.10.07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14001:2015,Q：GB/T 19001-2016idtISO 9001:2015,O：GB/T45001—2020/ISO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2020年05月23日 上午至2020年05月23日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30（午休12:00-13:00）</w:t>
            </w: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/>
                <w:sz w:val="21"/>
                <w:szCs w:val="21"/>
              </w:rPr>
              <w:t xml:space="preserve">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/>
                <w:sz w:val="21"/>
                <w:szCs w:val="21"/>
              </w:rPr>
              <w:t xml:space="preserve">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12）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13）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B13411"/>
    <w:rsid w:val="70622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9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2020-05-22T02:20:33Z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