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10573-2024-Q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衢州鑫辉物流有限责任公司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91330802MA29TWTY7W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衢州鑫辉物流有限责任公司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浙江省衢州市柯城区航埠镇浙西综合物流中心2区1幢3层20号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浙江省衢州市开化县传化物流园7幢2楼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普通道路货物运输（资质范围内）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衢州鑫辉物流有限责任公司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浙江省衢州市柯城区航埠镇浙西综合物流中心2区1幢3层20号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浙江省衢州市开化县传化物流园7幢2楼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普通道路货物运输（资质范围内）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