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0797-2022-EnMS-2024</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无锡万华机械有限公司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马成双</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91320211720626239G</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无锡万华机械有限公司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无锡市运河西路2688号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无锡市运河西路2688号</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汽车零部件的制造所涉及的能源管理活动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无锡万华机械有限公司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无锡市运河西路2688号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无锡市运河西路2688号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汽车零部件的制造所涉及的能源管理活动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R197EnMS220100</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