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0217-2020-Q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安徽鑫宏机械有限公司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张磊</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郝本东</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李青</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安徽鑫宏机械有限公司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淮南市田家庵区安成经济开发区27号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232038</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淮南市田家庵区安成经济开发区27号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232038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孙同昂</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1865541777</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刘奎新</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孙同昂</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机械加工（工矿配件的熔模铸造）</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17.11.03</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FF0000"/>
          <w:sz w:val="20"/>
          <w:szCs w:val="20"/>
        </w:rPr>
      </w:pPr>
      <w:r>
        <w:rPr>
          <w:rFonts w:hint="eastAsia" w:ascii="宋体" w:hAnsi="宋体"/>
          <w:b/>
          <w:color w:val="auto"/>
          <w:spacing w:val="-10"/>
          <w:sz w:val="20"/>
          <w:szCs w:val="20"/>
          <w:lang w:eastAsia="zh-CN"/>
        </w:rPr>
        <w:t>☑</w:t>
      </w:r>
      <w:r>
        <w:rPr>
          <w:rFonts w:hint="eastAsia" w:ascii="宋体" w:hAnsi="宋体"/>
          <w:b/>
          <w:color w:val="auto"/>
          <w:sz w:val="20"/>
          <w:szCs w:val="20"/>
        </w:rPr>
        <w:t>本次一阶段审核未在现场进行</w:t>
      </w:r>
      <w:r>
        <w:rPr>
          <w:rFonts w:ascii="宋体" w:hAnsi="宋体"/>
          <w:b/>
          <w:color w:val="auto"/>
          <w:sz w:val="20"/>
          <w:szCs w:val="20"/>
        </w:rPr>
        <w:t xml:space="preserve">, </w:t>
      </w:r>
      <w:r>
        <w:rPr>
          <w:rFonts w:hint="eastAsia" w:ascii="宋体" w:hAnsi="宋体"/>
          <w:b/>
          <w:color w:val="auto"/>
          <w:sz w:val="20"/>
          <w:szCs w:val="20"/>
        </w:rPr>
        <w:t>本次评审的文件有组织体系策划情况、文件的符合性评价及要求修改或说明的问题见本报告附件</w:t>
      </w:r>
      <w:r>
        <w:rPr>
          <w:rFonts w:ascii="宋体" w:hAnsi="宋体"/>
          <w:b/>
          <w:color w:val="auto"/>
          <w:sz w:val="20"/>
          <w:szCs w:val="20"/>
        </w:rPr>
        <w:t>(</w:t>
      </w:r>
      <w:r>
        <w:rPr>
          <w:rFonts w:hint="eastAsia" w:ascii="宋体" w:hAnsi="宋体"/>
          <w:b/>
          <w:color w:val="auto"/>
          <w:sz w:val="20"/>
          <w:szCs w:val="20"/>
        </w:rPr>
        <w:t>管理体系文件评审告</w:t>
      </w:r>
      <w:r>
        <w:rPr>
          <w:rFonts w:ascii="宋体" w:hAnsi="宋体"/>
          <w:b/>
          <w:color w:val="auto"/>
          <w:sz w:val="20"/>
          <w:szCs w:val="20"/>
        </w:rPr>
        <w:t>)</w:t>
      </w:r>
      <w:r>
        <w:rPr>
          <w:rFonts w:ascii="宋体" w:hAnsi="宋体"/>
          <w:b/>
          <w:color w:val="FF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sz w:val="20"/>
              </w:rPr>
              <w:t>机械加工（工矿配件的熔模铸造）</w:t>
            </w:r>
            <w:r>
              <w:rPr>
                <w:rFonts w:hint="eastAsia"/>
                <w:color w:val="000000"/>
                <w:szCs w:val="21"/>
                <w:u w:val="single"/>
              </w:rPr>
              <w:t xml:space="preserve"> </w:t>
            </w:r>
            <w:r>
              <w:rPr>
                <w:color w:val="000000"/>
                <w:szCs w:val="21"/>
                <w:u w:val="single"/>
              </w:rPr>
              <w:t xml:space="preserve">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color w:val="000000"/>
                <w:sz w:val="24"/>
                <w:szCs w:val="24"/>
                <w:lang w:val="en-US" w:eastAsia="zh-CN"/>
              </w:rPr>
              <w:t>生产部  质检部  供销部  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color w:val="000000"/>
                <w:sz w:val="24"/>
                <w:szCs w:val="24"/>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color w:val="000000"/>
                <w:sz w:val="24"/>
                <w:szCs w:val="24"/>
                <w:lang w:val="en-US" w:eastAsia="zh-CN"/>
              </w:rPr>
              <w:t xml:space="preserve">技术部 </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vAlign w:val="top"/>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leftChars="0" w:hanging="360" w:firstLineChars="0"/>
              <w:rPr>
                <w:rFonts w:ascii="宋体"/>
                <w:color w:val="000000"/>
                <w:sz w:val="20"/>
                <w:szCs w:val="20"/>
              </w:rPr>
            </w:pPr>
            <w:r>
              <w:rPr>
                <w:rFonts w:hint="eastAsia" w:ascii="宋体" w:hAnsi="宋体"/>
                <w:b/>
                <w:bCs/>
                <w:color w:val="00000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vAlign w:val="top"/>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hAnsi="宋体"/>
                <w:b/>
                <w:bCs/>
                <w:color w:val="000000"/>
                <w:sz w:val="20"/>
                <w:szCs w:val="20"/>
              </w:rPr>
              <w:t>——不适用</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vAlign w:val="top"/>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leftChars="0" w:hanging="360" w:firstLineChars="0"/>
              <w:rPr>
                <w:rFonts w:ascii="宋体"/>
                <w:color w:val="000000"/>
                <w:sz w:val="20"/>
                <w:szCs w:val="20"/>
              </w:rPr>
            </w:pPr>
            <w:r>
              <w:rPr>
                <w:rFonts w:hint="eastAsia" w:ascii="宋体" w:hAnsi="宋体"/>
                <w:b/>
                <w:bCs/>
                <w:color w:val="00000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auto"/>
                <w:sz w:val="20"/>
                <w:szCs w:val="20"/>
              </w:rPr>
            </w:pPr>
            <w:r>
              <w:rPr>
                <w:rFonts w:hint="eastAsia" w:ascii="宋体" w:hAnsi="宋体"/>
                <w:color w:val="auto"/>
                <w:sz w:val="20"/>
                <w:szCs w:val="20"/>
              </w:rPr>
              <w:t>受审核方现场是否属于高风险地区</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z w:val="20"/>
                <w:szCs w:val="20"/>
                <w:lang w:eastAsia="zh-CN"/>
              </w:rPr>
              <w:t>☑</w:t>
            </w:r>
            <w:r>
              <w:rPr>
                <w:rFonts w:hint="eastAsia" w:ascii="宋体" w:hAnsi="宋体"/>
                <w:color w:val="auto"/>
                <w:sz w:val="20"/>
                <w:szCs w:val="20"/>
              </w:rPr>
              <w:t>否</w:t>
            </w:r>
          </w:p>
          <w:p>
            <w:pPr>
              <w:tabs>
                <w:tab w:val="left" w:pos="360"/>
              </w:tabs>
              <w:ind w:left="357" w:hanging="357"/>
              <w:rPr>
                <w:rFonts w:ascii="宋体"/>
                <w:b/>
                <w:color w:val="auto"/>
                <w:sz w:val="20"/>
                <w:szCs w:val="20"/>
              </w:rPr>
            </w:pPr>
            <w:r>
              <w:rPr>
                <w:rFonts w:hint="eastAsia" w:ascii="宋体" w:hAnsi="宋体"/>
                <w:color w:val="auto"/>
                <w:sz w:val="20"/>
                <w:szCs w:val="20"/>
              </w:rPr>
              <w:t>受审核方现场周边是否具有危险性场所，如化工厂、加油站等</w:t>
            </w:r>
            <w:r>
              <w:rPr>
                <w:rFonts w:hint="eastAsia" w:ascii="宋体" w:hAnsi="宋体"/>
                <w:color w:val="auto"/>
                <w:spacing w:val="-10"/>
                <w:sz w:val="20"/>
                <w:szCs w:val="20"/>
              </w:rPr>
              <w:t>□</w:t>
            </w:r>
            <w:r>
              <w:rPr>
                <w:rFonts w:hint="eastAsia" w:ascii="宋体" w:hAnsi="宋体"/>
                <w:color w:val="auto"/>
                <w:sz w:val="20"/>
                <w:szCs w:val="20"/>
              </w:rPr>
              <w:t>有</w:t>
            </w:r>
            <w:r>
              <w:rPr>
                <w:rFonts w:hint="eastAsia" w:ascii="宋体" w:hAnsi="宋体"/>
                <w:color w:val="auto"/>
                <w:sz w:val="20"/>
                <w:szCs w:val="20"/>
                <w:lang w:eastAsia="zh-CN"/>
              </w:rPr>
              <w:t>☑</w:t>
            </w:r>
            <w:r>
              <w:rPr>
                <w:rFonts w:hint="eastAsia" w:ascii="宋体" w:hAnsi="宋体"/>
                <w:color w:val="auto"/>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auto"/>
                <w:sz w:val="20"/>
                <w:szCs w:val="20"/>
              </w:rPr>
            </w:pPr>
            <w:r>
              <w:rPr>
                <w:rFonts w:hint="eastAsia" w:ascii="宋体" w:hAnsi="宋体"/>
                <w:color w:val="auto"/>
                <w:sz w:val="20"/>
                <w:szCs w:val="20"/>
              </w:rPr>
              <w:t>受审核方认证范围内的产品的技术标准，及符合性证据</w:t>
            </w:r>
          </w:p>
          <w:p>
            <w:pPr>
              <w:ind w:left="-1" w:leftChars="-1" w:hanging="1"/>
              <w:jc w:val="left"/>
              <w:rPr>
                <w:rFonts w:ascii="宋体"/>
                <w:color w:val="auto"/>
                <w:spacing w:val="-10"/>
                <w:sz w:val="20"/>
                <w:szCs w:val="20"/>
              </w:rPr>
            </w:pPr>
            <w:r>
              <w:rPr>
                <w:rFonts w:hint="eastAsia" w:ascii="宋体" w:hAnsi="宋体"/>
                <w:color w:val="auto"/>
                <w:spacing w:val="-10"/>
                <w:sz w:val="20"/>
                <w:szCs w:val="20"/>
              </w:rPr>
              <w:t>（</w:t>
            </w:r>
            <w:r>
              <w:rPr>
                <w:rFonts w:ascii="宋体" w:hAnsi="宋体"/>
                <w:color w:val="auto"/>
                <w:spacing w:val="-10"/>
                <w:sz w:val="20"/>
                <w:szCs w:val="20"/>
              </w:rPr>
              <w:t>QMS</w:t>
            </w:r>
            <w:r>
              <w:rPr>
                <w:rFonts w:hint="eastAsia" w:ascii="宋体" w:hAnsi="宋体"/>
                <w:color w:val="auto"/>
                <w:spacing w:val="-10"/>
                <w:sz w:val="20"/>
                <w:szCs w:val="20"/>
              </w:rPr>
              <w:t>适用）</w:t>
            </w:r>
          </w:p>
        </w:tc>
        <w:tc>
          <w:tcPr>
            <w:tcW w:w="7427" w:type="dxa"/>
            <w:gridSpan w:val="3"/>
          </w:tcPr>
          <w:p>
            <w:pPr>
              <w:keepNext w:val="0"/>
              <w:keepLines w:val="0"/>
              <w:widowControl/>
              <w:suppressLineNumbers w:val="0"/>
              <w:jc w:val="left"/>
              <w:rPr>
                <w:rFonts w:hint="default"/>
                <w:lang w:val="en-US"/>
              </w:rPr>
            </w:pPr>
            <w:r>
              <w:rPr>
                <w:rFonts w:hint="eastAsia" w:ascii="宋体" w:hAnsi="宋体"/>
                <w:color w:val="auto"/>
                <w:spacing w:val="-10"/>
                <w:sz w:val="20"/>
                <w:szCs w:val="20"/>
                <w:lang w:eastAsia="zh-CN"/>
              </w:rPr>
              <w:t>□</w:t>
            </w:r>
            <w:r>
              <w:rPr>
                <w:rFonts w:hint="eastAsia" w:ascii="宋体" w:hAnsi="宋体"/>
                <w:color w:val="auto"/>
                <w:spacing w:val="-10"/>
                <w:sz w:val="20"/>
                <w:szCs w:val="20"/>
              </w:rPr>
              <w:t>产品技术标准号：</w:t>
            </w:r>
            <w:r>
              <w:rPr>
                <w:rFonts w:hint="eastAsia" w:ascii="宋体" w:hAnsi="宋体"/>
                <w:color w:val="auto"/>
                <w:spacing w:val="-10"/>
                <w:sz w:val="20"/>
                <w:szCs w:val="20"/>
                <w:lang w:eastAsia="zh-CN"/>
              </w:rPr>
              <w:t>☑</w:t>
            </w:r>
            <w:r>
              <w:rPr>
                <w:rFonts w:hint="eastAsia" w:ascii="宋体" w:hAnsi="宋体"/>
                <w:color w:val="auto"/>
                <w:spacing w:val="-10"/>
                <w:sz w:val="20"/>
                <w:szCs w:val="20"/>
              </w:rPr>
              <w:t>合同：</w:t>
            </w:r>
          </w:p>
          <w:p>
            <w:pPr>
              <w:rPr>
                <w:rFonts w:ascii="宋体"/>
                <w:color w:val="auto"/>
                <w:spacing w:val="-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auto"/>
                <w:sz w:val="20"/>
                <w:szCs w:val="20"/>
              </w:rPr>
            </w:pPr>
          </w:p>
        </w:tc>
        <w:tc>
          <w:tcPr>
            <w:tcW w:w="7427" w:type="dxa"/>
            <w:gridSpan w:val="3"/>
          </w:tcPr>
          <w:p>
            <w:pPr>
              <w:rPr>
                <w:rFonts w:ascii="宋体"/>
                <w:color w:val="auto"/>
                <w:spacing w:val="-10"/>
                <w:sz w:val="20"/>
                <w:szCs w:val="20"/>
              </w:rPr>
            </w:pPr>
            <w:r>
              <w:rPr>
                <w:rFonts w:hint="eastAsia" w:ascii="宋体" w:hAnsi="宋体"/>
                <w:color w:val="auto"/>
                <w:spacing w:val="-10"/>
                <w:sz w:val="20"/>
                <w:szCs w:val="20"/>
              </w:rPr>
              <w:t>现场是否有产品检验报告</w:t>
            </w:r>
            <w:r>
              <w:rPr>
                <w:rFonts w:hint="eastAsia" w:ascii="宋体" w:hAnsi="宋体"/>
                <w:color w:val="auto"/>
                <w:spacing w:val="-10"/>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lang w:eastAsia="zh-CN"/>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auto"/>
                <w:spacing w:val="-10"/>
                <w:sz w:val="20"/>
                <w:szCs w:val="20"/>
              </w:rPr>
            </w:pPr>
          </w:p>
        </w:tc>
        <w:tc>
          <w:tcPr>
            <w:tcW w:w="7427" w:type="dxa"/>
            <w:gridSpan w:val="3"/>
          </w:tcPr>
          <w:p>
            <w:pPr>
              <w:rPr>
                <w:rFonts w:ascii="宋体"/>
                <w:color w:val="auto"/>
                <w:spacing w:val="-10"/>
                <w:sz w:val="20"/>
                <w:szCs w:val="20"/>
              </w:rPr>
            </w:pPr>
            <w:r>
              <w:rPr>
                <w:rFonts w:hint="eastAsia" w:ascii="宋体"/>
                <w:color w:val="auto"/>
                <w:sz w:val="20"/>
                <w:szCs w:val="20"/>
              </w:rPr>
              <w:t>是否需要型式试验</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lang w:eastAsia="zh-CN"/>
              </w:rPr>
              <w:t>☑</w:t>
            </w:r>
            <w:r>
              <w:rPr>
                <w:rFonts w:hint="eastAsia" w:ascii="宋体" w:hAnsi="宋体"/>
                <w:color w:val="auto"/>
                <w:sz w:val="20"/>
                <w:szCs w:val="20"/>
              </w:rPr>
              <w:t>否，是否有</w:t>
            </w:r>
            <w:r>
              <w:rPr>
                <w:rFonts w:hint="eastAsia" w:ascii="宋体"/>
                <w:color w:val="auto"/>
                <w:sz w:val="20"/>
                <w:szCs w:val="20"/>
              </w:rPr>
              <w:t>型式试验</w:t>
            </w:r>
            <w:r>
              <w:rPr>
                <w:rFonts w:hint="eastAsia" w:ascii="宋体" w:hAnsi="宋体"/>
                <w:color w:val="auto"/>
                <w:sz w:val="20"/>
                <w:szCs w:val="20"/>
              </w:rPr>
              <w:t>报告</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lang w:eastAsia="zh-CN"/>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auto"/>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是否接受了行政主管部门的抽查</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否，抽查结果</w:t>
            </w:r>
            <w:r>
              <w:rPr>
                <w:rFonts w:hint="eastAsia" w:ascii="宋体" w:hAnsi="宋体"/>
                <w:color w:val="auto"/>
                <w:spacing w:val="-10"/>
                <w:sz w:val="20"/>
                <w:szCs w:val="20"/>
              </w:rPr>
              <w:t>□</w:t>
            </w:r>
            <w:r>
              <w:rPr>
                <w:rFonts w:hint="eastAsia" w:ascii="宋体" w:hAnsi="宋体"/>
                <w:color w:val="auto"/>
                <w:sz w:val="20"/>
                <w:szCs w:val="20"/>
              </w:rPr>
              <w:t>合格</w:t>
            </w:r>
            <w:r>
              <w:rPr>
                <w:rFonts w:hint="eastAsia" w:ascii="宋体" w:hAnsi="宋体"/>
                <w:color w:val="auto"/>
                <w:spacing w:val="-10"/>
                <w:sz w:val="20"/>
                <w:szCs w:val="20"/>
              </w:rPr>
              <w:t>□</w:t>
            </w:r>
            <w:r>
              <w:rPr>
                <w:rFonts w:hint="eastAsia" w:ascii="宋体" w:hAnsi="宋体"/>
                <w:color w:val="auto"/>
                <w:sz w:val="20"/>
                <w:szCs w:val="20"/>
              </w:rPr>
              <w:t>不合格</w:t>
            </w:r>
          </w:p>
          <w:p>
            <w:pPr>
              <w:rPr>
                <w:rFonts w:ascii="宋体"/>
                <w:color w:val="auto"/>
                <w:sz w:val="20"/>
                <w:szCs w:val="20"/>
              </w:rPr>
            </w:pPr>
            <w:r>
              <w:rPr>
                <w:rFonts w:hint="eastAsia" w:ascii="宋体" w:hAnsi="宋体"/>
                <w:color w:val="auto"/>
                <w:sz w:val="20"/>
                <w:szCs w:val="20"/>
              </w:rPr>
              <w:t>是否列入当地政府黑名单</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p>
            <w:pPr>
              <w:rPr>
                <w:rFonts w:ascii="宋体"/>
                <w:color w:val="auto"/>
                <w:spacing w:val="-10"/>
                <w:sz w:val="20"/>
                <w:szCs w:val="20"/>
              </w:rPr>
            </w:pPr>
            <w:r>
              <w:rPr>
                <w:rFonts w:hint="eastAsia" w:ascii="宋体" w:hAnsi="宋体"/>
                <w:color w:val="auto"/>
                <w:sz w:val="20"/>
                <w:szCs w:val="20"/>
              </w:rPr>
              <w:t>是否有重大顾客投诉</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eastAsia="宋体"/>
                <w:color w:val="000000"/>
                <w:sz w:val="20"/>
                <w:szCs w:val="20"/>
                <w:lang w:eastAsia="zh-CN"/>
              </w:rPr>
            </w:pPr>
            <w:r>
              <w:rPr>
                <w:rFonts w:hint="default"/>
                <w:b/>
                <w:bCs/>
                <w:color w:val="000000"/>
                <w:szCs w:val="21"/>
                <w:u w:val="none"/>
                <w:lang w:val="en-US" w:eastAsia="zh-CN"/>
              </w:rPr>
              <w:t>生产工艺流程</w:t>
            </w:r>
            <w:r>
              <w:rPr>
                <w:rFonts w:hint="eastAsia"/>
                <w:b/>
                <w:bCs/>
                <w:color w:val="000000"/>
                <w:szCs w:val="21"/>
                <w:u w:val="none"/>
                <w:lang w:val="en-US" w:eastAsia="zh-CN"/>
              </w:rPr>
              <w:t>：</w:t>
            </w:r>
            <w:r>
              <w:rPr>
                <w:rFonts w:hint="eastAsia"/>
                <w:color w:val="auto"/>
                <w:lang w:val="en-US" w:eastAsia="zh-CN"/>
              </w:rPr>
              <w:t>工艺设计</w:t>
            </w:r>
            <w:r>
              <w:rPr>
                <w:rFonts w:hint="default" w:ascii="Arial" w:hAnsi="Arial" w:cs="Arial"/>
                <w:color w:val="auto"/>
                <w:lang w:val="en-US" w:eastAsia="zh-CN"/>
              </w:rPr>
              <w:t>→</w:t>
            </w:r>
            <w:r>
              <w:rPr>
                <w:rFonts w:hint="eastAsia"/>
                <w:color w:val="FF0000"/>
                <w:lang w:val="en-US" w:eastAsia="zh-CN"/>
              </w:rPr>
              <w:t>模具制造</w:t>
            </w:r>
            <w:r>
              <w:rPr>
                <w:rFonts w:hint="default" w:ascii="Arial" w:hAnsi="Arial" w:cs="Arial"/>
                <w:color w:val="auto"/>
                <w:lang w:val="en-US" w:eastAsia="zh-CN"/>
              </w:rPr>
              <w:t>→</w:t>
            </w:r>
            <w:r>
              <w:rPr>
                <w:rFonts w:hint="eastAsia"/>
                <w:color w:val="FF0000"/>
                <w:lang w:val="en-US" w:eastAsia="zh-CN"/>
              </w:rPr>
              <w:t>注蜡</w:t>
            </w:r>
            <w:r>
              <w:rPr>
                <w:rFonts w:hint="default" w:ascii="Arial" w:hAnsi="Arial" w:cs="Arial"/>
                <w:color w:val="auto"/>
                <w:lang w:val="en-US" w:eastAsia="zh-CN"/>
              </w:rPr>
              <w:t>→</w:t>
            </w:r>
            <w:r>
              <w:rPr>
                <w:rFonts w:hint="eastAsia"/>
                <w:color w:val="auto"/>
                <w:lang w:val="en-US" w:eastAsia="zh-CN"/>
              </w:rPr>
              <w:t>修光</w:t>
            </w:r>
            <w:r>
              <w:rPr>
                <w:rFonts w:hint="default" w:ascii="Arial" w:hAnsi="Arial" w:cs="Arial"/>
                <w:color w:val="auto"/>
                <w:lang w:val="en-US" w:eastAsia="zh-CN"/>
              </w:rPr>
              <w:t>→</w:t>
            </w:r>
            <w:r>
              <w:rPr>
                <w:rFonts w:hint="eastAsia"/>
                <w:color w:val="auto"/>
                <w:lang w:val="en-US" w:eastAsia="zh-CN"/>
              </w:rPr>
              <w:t>熔模组树</w:t>
            </w:r>
            <w:r>
              <w:rPr>
                <w:rFonts w:hint="default" w:ascii="Arial" w:hAnsi="Arial" w:cs="Arial"/>
                <w:color w:val="auto"/>
                <w:lang w:val="en-US" w:eastAsia="zh-CN"/>
              </w:rPr>
              <w:t>→</w:t>
            </w:r>
            <w:r>
              <w:rPr>
                <w:rFonts w:hint="eastAsia"/>
                <w:color w:val="auto"/>
                <w:lang w:val="en-US" w:eastAsia="zh-CN"/>
              </w:rPr>
              <w:t>制壳</w:t>
            </w:r>
            <w:r>
              <w:rPr>
                <w:rFonts w:hint="default" w:ascii="Arial" w:hAnsi="Arial" w:cs="Arial"/>
                <w:color w:val="auto"/>
                <w:lang w:val="en-US" w:eastAsia="zh-CN"/>
              </w:rPr>
              <w:t>→</w:t>
            </w:r>
            <w:r>
              <w:rPr>
                <w:rFonts w:hint="eastAsia"/>
                <w:color w:val="FF0000"/>
                <w:lang w:val="en-US" w:eastAsia="zh-CN"/>
              </w:rPr>
              <w:t>型壳干燥硬化</w:t>
            </w:r>
            <w:r>
              <w:rPr>
                <w:rFonts w:hint="default" w:ascii="Arial" w:hAnsi="Arial" w:cs="Arial"/>
                <w:color w:val="auto"/>
                <w:lang w:val="en-US" w:eastAsia="zh-CN"/>
              </w:rPr>
              <w:t>→</w:t>
            </w:r>
            <w:r>
              <w:rPr>
                <w:rFonts w:hint="eastAsia"/>
                <w:color w:val="auto"/>
                <w:lang w:val="en-US" w:eastAsia="zh-CN"/>
              </w:rPr>
              <w:t>失蜡</w:t>
            </w:r>
            <w:r>
              <w:rPr>
                <w:rFonts w:hint="default" w:ascii="Arial" w:hAnsi="Arial" w:cs="Arial"/>
                <w:color w:val="auto"/>
                <w:lang w:val="en-US" w:eastAsia="zh-CN"/>
              </w:rPr>
              <w:t>→</w:t>
            </w:r>
            <w:r>
              <w:rPr>
                <w:rFonts w:hint="eastAsia"/>
                <w:color w:val="FF0000"/>
                <w:lang w:val="en-US" w:eastAsia="zh-CN"/>
              </w:rPr>
              <w:t>型壳焙烧</w:t>
            </w:r>
            <w:r>
              <w:rPr>
                <w:rFonts w:hint="default" w:ascii="Arial" w:hAnsi="Arial" w:cs="Arial"/>
                <w:color w:val="auto"/>
                <w:lang w:val="en-US" w:eastAsia="zh-CN"/>
              </w:rPr>
              <w:t>→</w:t>
            </w:r>
            <w:r>
              <w:rPr>
                <w:rFonts w:hint="eastAsia" w:ascii="Arial" w:hAnsi="Arial" w:cs="Arial"/>
                <w:b/>
                <w:bCs/>
                <w:color w:val="auto"/>
                <w:lang w:val="en-US" w:eastAsia="zh-CN"/>
              </w:rPr>
              <w:t>熔炼</w:t>
            </w:r>
            <w:r>
              <w:rPr>
                <w:rFonts w:hint="default" w:ascii="Arial" w:hAnsi="Arial" w:cs="Arial"/>
                <w:color w:val="auto"/>
                <w:lang w:val="en-US" w:eastAsia="zh-CN"/>
              </w:rPr>
              <w:t>→</w:t>
            </w:r>
            <w:r>
              <w:rPr>
                <w:rFonts w:hint="eastAsia"/>
                <w:color w:val="FF0000"/>
                <w:lang w:val="en-US" w:eastAsia="zh-CN"/>
              </w:rPr>
              <w:t>浇筑</w:t>
            </w:r>
            <w:r>
              <w:rPr>
                <w:rFonts w:hint="default" w:ascii="Arial" w:hAnsi="Arial" w:cs="Arial"/>
                <w:color w:val="auto"/>
                <w:lang w:val="en-US" w:eastAsia="zh-CN"/>
              </w:rPr>
              <w:t>→</w:t>
            </w:r>
            <w:r>
              <w:rPr>
                <w:rFonts w:hint="eastAsia"/>
                <w:color w:val="auto"/>
                <w:lang w:val="en-US" w:eastAsia="zh-CN"/>
              </w:rPr>
              <w:t>清砂切割修磨</w:t>
            </w:r>
            <w:r>
              <w:rPr>
                <w:rFonts w:hint="default" w:ascii="Arial" w:hAnsi="Arial" w:cs="Arial"/>
                <w:color w:val="auto"/>
                <w:lang w:val="en-US" w:eastAsia="zh-CN"/>
              </w:rPr>
              <w:t>→</w:t>
            </w:r>
            <w:r>
              <w:rPr>
                <w:rFonts w:hint="eastAsia"/>
                <w:b/>
                <w:bCs/>
                <w:color w:val="auto"/>
                <w:lang w:val="en-US" w:eastAsia="zh-CN"/>
              </w:rPr>
              <w:t>热处理</w:t>
            </w:r>
            <w:r>
              <w:rPr>
                <w:rFonts w:hint="default" w:ascii="Arial" w:hAnsi="Arial" w:cs="Arial"/>
                <w:color w:val="auto"/>
                <w:lang w:val="en-US" w:eastAsia="zh-CN"/>
              </w:rPr>
              <w:t>→</w:t>
            </w:r>
            <w:r>
              <w:rPr>
                <w:rFonts w:hint="eastAsia"/>
                <w:color w:val="auto"/>
                <w:lang w:val="en-US" w:eastAsia="zh-CN"/>
              </w:rPr>
              <w:t>抛丸</w:t>
            </w:r>
            <w:r>
              <w:rPr>
                <w:rFonts w:hint="default" w:ascii="Arial" w:hAnsi="Arial" w:cs="Arial"/>
                <w:color w:val="auto"/>
                <w:lang w:val="en-US" w:eastAsia="zh-CN"/>
              </w:rPr>
              <w:t>→</w:t>
            </w:r>
            <w:r>
              <w:rPr>
                <w:rFonts w:hint="eastAsia"/>
                <w:color w:val="auto"/>
                <w:lang w:val="en-US" w:eastAsia="zh-CN"/>
              </w:rPr>
              <w:t>机加工</w:t>
            </w:r>
            <w:r>
              <w:rPr>
                <w:rFonts w:hint="default" w:ascii="Arial" w:hAnsi="Arial" w:cs="Arial"/>
                <w:color w:val="auto"/>
                <w:lang w:val="en-US" w:eastAsia="zh-CN"/>
              </w:rPr>
              <w:t>→</w:t>
            </w:r>
            <w:r>
              <w:rPr>
                <w:rFonts w:hint="eastAsia"/>
                <w:color w:val="auto"/>
                <w:lang w:val="en-US" w:eastAsia="zh-CN"/>
              </w:rPr>
              <w:t>焊接耐磨板</w:t>
            </w:r>
            <w:r>
              <w:rPr>
                <w:rFonts w:hint="default" w:ascii="Arial" w:hAnsi="Arial" w:cs="Arial"/>
                <w:color w:val="auto"/>
                <w:lang w:val="en-US" w:eastAsia="zh-CN"/>
              </w:rPr>
              <w:t>→</w:t>
            </w:r>
            <w:r>
              <w:rPr>
                <w:rFonts w:hint="eastAsia"/>
                <w:color w:val="auto"/>
                <w:lang w:val="en-US" w:eastAsia="zh-CN"/>
              </w:rPr>
              <w:t>包装</w:t>
            </w:r>
            <w:r>
              <w:rPr>
                <w:rFonts w:hint="default" w:ascii="Arial" w:hAnsi="Arial" w:cs="Arial"/>
                <w:color w:val="auto"/>
                <w:lang w:val="en-US" w:eastAsia="zh-CN"/>
              </w:rPr>
              <w:t>→</w:t>
            </w:r>
            <w:r>
              <w:rPr>
                <w:rFonts w:hint="eastAsia"/>
                <w:color w:val="auto"/>
                <w:lang w:val="en-US" w:eastAsia="zh-CN"/>
              </w:rPr>
              <w:t>发货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color w:val="FF0000"/>
                <w:u w:val="single"/>
                <w:lang w:val="en-US" w:eastAsia="zh-CN"/>
              </w:rPr>
              <w:t>模具制造</w:t>
            </w:r>
            <w:r>
              <w:rPr>
                <w:rFonts w:hint="eastAsia" w:ascii="Arial" w:hAnsi="Arial" w:cs="Arial"/>
                <w:color w:val="auto"/>
                <w:u w:val="single"/>
                <w:lang w:val="en-US" w:eastAsia="zh-CN"/>
              </w:rPr>
              <w:t>，</w:t>
            </w:r>
            <w:r>
              <w:rPr>
                <w:rFonts w:hint="eastAsia"/>
                <w:color w:val="FF0000"/>
                <w:u w:val="single"/>
                <w:lang w:val="en-US" w:eastAsia="zh-CN"/>
              </w:rPr>
              <w:t>注蜡，型壳干燥硬化</w:t>
            </w:r>
            <w:r>
              <w:rPr>
                <w:rFonts w:hint="eastAsia" w:ascii="Arial" w:hAnsi="Arial" w:cs="Arial"/>
                <w:color w:val="auto"/>
                <w:u w:val="single"/>
                <w:lang w:val="en-US" w:eastAsia="zh-CN"/>
              </w:rPr>
              <w:t>，</w:t>
            </w:r>
            <w:r>
              <w:rPr>
                <w:rFonts w:hint="eastAsia"/>
                <w:color w:val="FF0000"/>
                <w:u w:val="single"/>
                <w:lang w:val="en-US" w:eastAsia="zh-CN"/>
              </w:rPr>
              <w:t>型壳焙烧</w:t>
            </w:r>
            <w:r>
              <w:rPr>
                <w:rFonts w:hint="eastAsia" w:ascii="Arial" w:hAnsi="Arial" w:cs="Arial"/>
                <w:color w:val="auto"/>
                <w:u w:val="single"/>
                <w:lang w:val="en-US" w:eastAsia="zh-CN"/>
              </w:rPr>
              <w:t>，</w:t>
            </w:r>
            <w:r>
              <w:rPr>
                <w:rFonts w:hint="eastAsia"/>
                <w:color w:val="FF0000"/>
                <w:u w:val="single"/>
                <w:lang w:val="en-US" w:eastAsia="zh-CN"/>
              </w:rPr>
              <w:t>浇筑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color w:val="auto"/>
                <w:u w:val="single"/>
                <w:lang w:val="en-US" w:eastAsia="zh-CN"/>
              </w:rPr>
              <w:t>作业指导书，检验规程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Arial" w:hAnsi="Arial" w:cs="Arial"/>
                <w:b/>
                <w:bCs/>
                <w:color w:val="auto"/>
                <w:u w:val="single"/>
                <w:lang w:val="en-US" w:eastAsia="zh-CN"/>
              </w:rPr>
              <w:t>熔炼，</w:t>
            </w:r>
            <w:r>
              <w:rPr>
                <w:rFonts w:hint="eastAsia"/>
                <w:b/>
                <w:bCs/>
                <w:color w:val="auto"/>
                <w:u w:val="single"/>
                <w:lang w:val="en-US" w:eastAsia="zh-CN"/>
              </w:rPr>
              <w:t>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jc w:val="left"/>
              <w:rPr>
                <w:rFonts w:hint="eastAsia"/>
                <w:color w:val="000000"/>
                <w:szCs w:val="21"/>
                <w:u w:val="none"/>
                <w:lang w:val="en-US" w:eastAsia="zh-CN"/>
              </w:rPr>
            </w:pPr>
            <w:r>
              <w:rPr>
                <w:rFonts w:hint="eastAsia"/>
                <w:color w:val="000000"/>
                <w:szCs w:val="21"/>
                <w:u w:val="none"/>
                <w:lang w:val="en-US" w:eastAsia="zh-CN"/>
              </w:rPr>
              <w:t>外包过程有：物流运输,设备内部衬胶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jc w:val="left"/>
              <w:rPr>
                <w:rFonts w:hint="default"/>
                <w:color w:val="000000"/>
                <w:szCs w:val="21"/>
                <w:u w:val="none"/>
                <w:lang w:val="en-US" w:eastAsia="zh-CN"/>
              </w:rPr>
            </w:pPr>
            <w:r>
              <w:rPr>
                <w:rFonts w:hint="eastAsia"/>
                <w:color w:val="000000"/>
                <w:szCs w:val="21"/>
                <w:u w:val="none"/>
                <w:lang w:val="en-US" w:eastAsia="zh-CN"/>
              </w:rPr>
              <w:t>是否明确了外包过程的控制方法：签订合同协议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color w:val="000000"/>
                <w:u w:val="single"/>
              </w:rPr>
              <w:t>四工位自动注蜡机</w:t>
            </w:r>
            <w:r>
              <w:rPr>
                <w:rFonts w:hint="eastAsia"/>
                <w:color w:val="000000"/>
                <w:u w:val="single"/>
                <w:lang w:eastAsia="zh-CN"/>
              </w:rPr>
              <w:t>，气动注蜡机，蜡膏打浆器，全自动蜡片制造机，生物质蒸汽发生器，冷却液机械搅拌系统，数控车床，铣床，电火花数控线切割机床</w:t>
            </w:r>
            <w:r>
              <w:rPr>
                <w:color w:val="00000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color w:val="000000"/>
                <w:sz w:val="20"/>
                <w:szCs w:val="20"/>
                <w:lang w:val="en-US"/>
              </w:rPr>
            </w:pPr>
            <w:r>
              <w:rPr>
                <w:rFonts w:hint="eastAsia" w:ascii="宋体" w:hAnsi="宋体"/>
                <w:color w:val="000000"/>
                <w:sz w:val="20"/>
                <w:szCs w:val="20"/>
              </w:rPr>
              <w:t>特种设备：</w:t>
            </w:r>
            <w:r>
              <w:rPr>
                <w:rFonts w:hint="eastAsia"/>
                <w:color w:val="000000"/>
                <w:u w:val="single"/>
                <w:lang w:val="en-US" w:eastAsia="zh-CN"/>
              </w:rPr>
              <w:t>行车，叉车，锅炉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color w:val="000000"/>
                <w:u w:val="single"/>
              </w:rPr>
              <w:t>游标卡尺</w:t>
            </w:r>
            <w:r>
              <w:rPr>
                <w:rFonts w:hint="eastAsia"/>
                <w:color w:val="000000"/>
                <w:u w:val="single"/>
                <w:lang w:eastAsia="zh-CN"/>
              </w:rPr>
              <w:t>，深度尺，双柱带表高度尺，外钩槽游标卡尺，摆锤冲击低温槽，压力表，微机钢水测温仪</w:t>
            </w:r>
            <w:r>
              <w:rPr>
                <w:color w:val="00000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w:t>
            </w:r>
            <w:r>
              <w:rPr>
                <w:rFonts w:hint="eastAsia" w:ascii="宋体"/>
                <w:color w:val="000000"/>
                <w:sz w:val="20"/>
                <w:szCs w:val="20"/>
                <w:lang w:eastAsia="zh-CN"/>
              </w:rPr>
              <w:t>□</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auto"/>
                <w:sz w:val="20"/>
                <w:szCs w:val="20"/>
              </w:rPr>
            </w:pPr>
            <w:r>
              <w:rPr>
                <w:rFonts w:hint="eastAsia" w:ascii="宋体" w:hAnsi="宋体"/>
                <w:color w:val="auto"/>
                <w:sz w:val="20"/>
                <w:szCs w:val="20"/>
              </w:rPr>
              <w:t>满足产品要求所需</w:t>
            </w:r>
          </w:p>
          <w:p>
            <w:pPr>
              <w:rPr>
                <w:rFonts w:ascii="宋体"/>
                <w:color w:val="auto"/>
                <w:sz w:val="20"/>
                <w:szCs w:val="20"/>
              </w:rPr>
            </w:pPr>
            <w:r>
              <w:rPr>
                <w:rFonts w:hint="eastAsia" w:ascii="宋体" w:hAnsi="宋体"/>
                <w:color w:val="auto"/>
                <w:sz w:val="20"/>
                <w:szCs w:val="20"/>
              </w:rPr>
              <w:t>工作环境</w:t>
            </w:r>
          </w:p>
        </w:tc>
        <w:tc>
          <w:tcPr>
            <w:tcW w:w="7427" w:type="dxa"/>
          </w:tcPr>
          <w:p>
            <w:pPr>
              <w:rPr>
                <w:rFonts w:hint="eastAsia" w:ascii="宋体" w:hAnsi="宋体" w:cs="Arial"/>
                <w:color w:val="auto"/>
                <w:szCs w:val="24"/>
                <w:lang w:eastAsia="zh-CN"/>
              </w:rPr>
            </w:pPr>
            <w:r>
              <w:rPr>
                <w:rFonts w:hint="eastAsia" w:ascii="宋体"/>
                <w:color w:val="auto"/>
                <w:sz w:val="20"/>
                <w:szCs w:val="20"/>
                <w:lang w:val="en-US" w:eastAsia="zh-CN"/>
              </w:rPr>
              <w:t>提供</w:t>
            </w:r>
            <w:r>
              <w:rPr>
                <w:rFonts w:hint="eastAsia" w:ascii="宋体" w:hAnsi="宋体" w:cs="Arial"/>
                <w:color w:val="auto"/>
                <w:szCs w:val="24"/>
              </w:rPr>
              <w:t>过程设备（硬件和软件，如电脑、打印机、监控设备等）信息和通讯技术（如信息软件、通讯设施、办公设备、网络等）</w:t>
            </w:r>
            <w:r>
              <w:rPr>
                <w:rFonts w:hint="eastAsia" w:ascii="宋体" w:hAnsi="宋体" w:cs="Arial"/>
                <w:color w:val="auto"/>
                <w:szCs w:val="24"/>
                <w:lang w:eastAsia="zh-CN"/>
              </w:rPr>
              <w:t>，公司考虑工作环境中必要的人性和生理因素，确保员工的职业安全、健康和心情愉快，包括：</w:t>
            </w:r>
          </w:p>
          <w:p>
            <w:pPr>
              <w:rPr>
                <w:rFonts w:hint="eastAsia" w:ascii="宋体" w:hAnsi="宋体" w:cs="Arial"/>
                <w:color w:val="auto"/>
                <w:szCs w:val="24"/>
                <w:lang w:eastAsia="zh-CN"/>
              </w:rPr>
            </w:pPr>
            <w:r>
              <w:rPr>
                <w:rFonts w:hint="eastAsia" w:ascii="宋体" w:hAnsi="宋体" w:cs="Arial"/>
                <w:color w:val="auto"/>
                <w:szCs w:val="24"/>
                <w:lang w:eastAsia="zh-CN"/>
              </w:rPr>
              <w:t>a) 社会因素（如不歧视、和谐稳定、不对抗）；</w:t>
            </w:r>
          </w:p>
          <w:p>
            <w:pPr>
              <w:rPr>
                <w:rFonts w:hint="eastAsia" w:ascii="宋体" w:hAnsi="宋体" w:cs="Arial"/>
                <w:color w:val="auto"/>
                <w:szCs w:val="24"/>
                <w:lang w:eastAsia="zh-CN"/>
              </w:rPr>
            </w:pPr>
            <w:r>
              <w:rPr>
                <w:rFonts w:hint="eastAsia" w:ascii="宋体" w:hAnsi="宋体" w:cs="Arial"/>
                <w:color w:val="auto"/>
                <w:szCs w:val="24"/>
                <w:lang w:eastAsia="zh-CN"/>
              </w:rPr>
              <w:t>b) 心理因素（如降低压力、倦怠预防、情感保护）；</w:t>
            </w:r>
          </w:p>
          <w:p>
            <w:pPr>
              <w:rPr>
                <w:rFonts w:hint="eastAsia" w:ascii="宋体" w:hAnsi="宋体" w:cs="Arial"/>
                <w:color w:val="auto"/>
                <w:szCs w:val="24"/>
                <w:lang w:eastAsia="zh-CN"/>
              </w:rPr>
            </w:pPr>
            <w:r>
              <w:rPr>
                <w:rFonts w:hint="eastAsia" w:ascii="宋体" w:hAnsi="宋体" w:cs="Arial"/>
                <w:color w:val="auto"/>
                <w:szCs w:val="24"/>
                <w:lang w:eastAsia="zh-CN"/>
              </w:rPr>
              <w:t>c) 物理因素（温度、热度、湿度、照明、空气流通、卫生、噪音）</w:t>
            </w:r>
          </w:p>
          <w:p>
            <w:pPr>
              <w:rPr>
                <w:rFonts w:hint="eastAsia" w:ascii="宋体" w:hAnsi="宋体" w:cs="Arial"/>
                <w:color w:val="auto"/>
                <w:szCs w:val="24"/>
                <w:lang w:eastAsia="zh-CN"/>
              </w:rPr>
            </w:pPr>
            <w:r>
              <w:rPr>
                <w:rFonts w:hint="eastAsia" w:ascii="宋体" w:hAnsi="宋体" w:cs="Arial"/>
                <w:color w:val="auto"/>
                <w:szCs w:val="24"/>
                <w:lang w:eastAsia="zh-CN"/>
              </w:rPr>
              <w:t>以确定并管理所需的工作环境。</w:t>
            </w:r>
          </w:p>
          <w:p>
            <w:pPr>
              <w:rPr>
                <w:rFonts w:hint="eastAsia" w:ascii="宋体" w:eastAsia="宋体"/>
                <w:color w:val="auto"/>
                <w:sz w:val="20"/>
                <w:szCs w:val="20"/>
                <w:lang w:val="en-US" w:eastAsia="zh-CN"/>
              </w:rPr>
            </w:pPr>
            <w:r>
              <w:rPr>
                <w:rFonts w:hint="eastAsia" w:ascii="宋体" w:eastAsia="宋体"/>
                <w:color w:val="auto"/>
                <w:sz w:val="20"/>
                <w:szCs w:val="20"/>
                <w:lang w:val="en-US" w:eastAsia="zh-CN"/>
              </w:rPr>
              <w:t>各作业场所的工作环境应保持整齐、卫生、安全。必要时应包括：</w:t>
            </w:r>
          </w:p>
          <w:p>
            <w:pPr>
              <w:rPr>
                <w:rFonts w:hint="eastAsia" w:ascii="宋体" w:eastAsia="宋体"/>
                <w:color w:val="auto"/>
                <w:sz w:val="20"/>
                <w:szCs w:val="20"/>
                <w:lang w:val="en-US" w:eastAsia="zh-CN"/>
              </w:rPr>
            </w:pPr>
            <w:r>
              <w:rPr>
                <w:rFonts w:hint="eastAsia" w:ascii="宋体" w:eastAsia="宋体"/>
                <w:color w:val="auto"/>
                <w:sz w:val="20"/>
                <w:szCs w:val="20"/>
                <w:lang w:val="en-US" w:eastAsia="zh-CN"/>
              </w:rPr>
              <w:t>a)配置适宜的办公场所，并根据生产需要进行适当的装修；</w:t>
            </w:r>
          </w:p>
          <w:p>
            <w:pPr>
              <w:rPr>
                <w:rFonts w:hint="eastAsia" w:ascii="宋体" w:eastAsia="宋体"/>
                <w:color w:val="auto"/>
                <w:sz w:val="20"/>
                <w:szCs w:val="20"/>
                <w:lang w:val="en-US" w:eastAsia="zh-CN"/>
              </w:rPr>
            </w:pPr>
            <w:r>
              <w:rPr>
                <w:rFonts w:hint="eastAsia" w:ascii="宋体" w:eastAsia="宋体"/>
                <w:color w:val="auto"/>
                <w:sz w:val="20"/>
                <w:szCs w:val="20"/>
                <w:lang w:val="en-US" w:eastAsia="zh-CN"/>
              </w:rPr>
              <w:t>b)配置必要的消防器材，保持适宜的温度，综合部应卫生、安全。</w:t>
            </w:r>
          </w:p>
          <w:p>
            <w:pPr>
              <w:rPr>
                <w:rFonts w:hint="eastAsia" w:ascii="宋体" w:eastAsia="宋体"/>
                <w:color w:val="auto"/>
                <w:sz w:val="20"/>
                <w:szCs w:val="20"/>
                <w:lang w:val="en-US" w:eastAsia="zh-CN"/>
              </w:rPr>
            </w:pPr>
            <w:r>
              <w:rPr>
                <w:rFonts w:hint="eastAsia" w:ascii="宋体" w:eastAsia="宋体"/>
                <w:color w:val="auto"/>
                <w:sz w:val="20"/>
                <w:szCs w:val="20"/>
                <w:lang w:val="en-US" w:eastAsia="zh-CN"/>
              </w:rPr>
              <w:t>c)发挥员工的积极性和创造性，创造团结协作、共同进取的良好工作环境。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92</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生产</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color w:val="auto"/>
                <w:kern w:val="0"/>
              </w:rPr>
              <w:t>公司于</w:t>
            </w:r>
            <w:r>
              <w:rPr>
                <w:rFonts w:hint="eastAsia" w:ascii="宋体" w:hAnsi="宋体"/>
                <w:color w:val="auto"/>
                <w:kern w:val="0"/>
                <w:lang w:val="en-US" w:eastAsia="zh-CN"/>
              </w:rPr>
              <w:t>2020</w:t>
            </w:r>
            <w:r>
              <w:rPr>
                <w:rFonts w:hint="eastAsia" w:ascii="宋体" w:hAnsi="宋体"/>
                <w:color w:val="auto"/>
                <w:kern w:val="0"/>
              </w:rPr>
              <w:t xml:space="preserve"> 年</w:t>
            </w:r>
            <w:r>
              <w:rPr>
                <w:rFonts w:hint="eastAsia" w:ascii="宋体" w:hAnsi="宋体"/>
                <w:color w:val="auto"/>
                <w:kern w:val="0"/>
                <w:lang w:val="en-US" w:eastAsia="zh-CN"/>
              </w:rPr>
              <w:t>3</w:t>
            </w:r>
            <w:r>
              <w:rPr>
                <w:rFonts w:hint="eastAsia" w:ascii="宋体" w:hAnsi="宋体"/>
                <w:color w:val="auto"/>
                <w:kern w:val="0"/>
              </w:rPr>
              <w:t xml:space="preserve">  月 </w:t>
            </w:r>
            <w:r>
              <w:rPr>
                <w:rFonts w:hint="eastAsia" w:ascii="宋体" w:hAnsi="宋体"/>
                <w:color w:val="auto"/>
                <w:kern w:val="0"/>
                <w:lang w:val="en-US" w:eastAsia="zh-CN"/>
              </w:rPr>
              <w:t>15-16</w:t>
            </w:r>
            <w:r>
              <w:rPr>
                <w:rFonts w:hint="eastAsia" w:ascii="宋体" w:hAnsi="宋体"/>
                <w:color w:val="auto"/>
                <w:kern w:val="0"/>
              </w:rPr>
              <w:t xml:space="preserve"> 日进行一次内审，提供了内审计划、内审记录、不符合报告、内审报告等，发现了QMS：不符合项</w:t>
            </w:r>
            <w:r>
              <w:rPr>
                <w:rFonts w:hint="eastAsia" w:ascii="宋体" w:hAnsi="宋体"/>
                <w:color w:val="auto"/>
                <w:kern w:val="0"/>
                <w:lang w:val="en-US" w:eastAsia="zh-CN"/>
              </w:rPr>
              <w:t>1</w:t>
            </w:r>
            <w:r>
              <w:rPr>
                <w:rFonts w:hint="eastAsia" w:ascii="宋体" w:hAnsi="宋体"/>
                <w:color w:val="auto"/>
                <w:kern w:val="0"/>
              </w:rPr>
              <w:t>项；具体内容，二阶段进一步审核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color w:val="auto"/>
              </w:rPr>
              <w:t>基本符合计划安排和标准的要求，并得到了较有效实施和保持，仍需进一步改进。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ascii="宋体" w:hAnsi="宋体"/>
                <w:b/>
                <w:color w:val="auto"/>
                <w:sz w:val="20"/>
                <w:szCs w:val="20"/>
              </w:rPr>
              <w:t xml:space="preserve"> </w:t>
            </w:r>
            <w:r>
              <w:rPr>
                <w:rFonts w:hint="eastAsia" w:ascii="宋体" w:hAnsi="宋体" w:eastAsia="宋体" w:cs="Times New Roman"/>
                <w:color w:val="auto"/>
              </w:rPr>
              <w:t xml:space="preserve"> </w:t>
            </w:r>
            <w:r>
              <w:rPr>
                <w:rFonts w:hint="eastAsia" w:ascii="宋体" w:hAnsi="宋体" w:eastAsia="宋体" w:cs="Times New Roman"/>
                <w:color w:val="auto"/>
                <w:lang w:val="en-US" w:eastAsia="zh-CN"/>
              </w:rPr>
              <w:t>2020</w:t>
            </w:r>
            <w:r>
              <w:rPr>
                <w:rFonts w:hint="eastAsia" w:ascii="宋体" w:hAnsi="宋体" w:eastAsia="宋体" w:cs="Times New Roman"/>
                <w:color w:val="auto"/>
              </w:rPr>
              <w:t xml:space="preserve"> 年</w:t>
            </w:r>
            <w:r>
              <w:rPr>
                <w:rFonts w:hint="eastAsia" w:ascii="宋体" w:hAnsi="宋体" w:eastAsia="宋体" w:cs="Times New Roman"/>
                <w:color w:val="auto"/>
                <w:lang w:val="en-US" w:eastAsia="zh-CN"/>
              </w:rPr>
              <w:t>4</w:t>
            </w:r>
            <w:r>
              <w:rPr>
                <w:rFonts w:hint="eastAsia" w:ascii="宋体" w:hAnsi="宋体" w:eastAsia="宋体" w:cs="Times New Roman"/>
                <w:color w:val="auto"/>
              </w:rPr>
              <w:t xml:space="preserve">月 </w:t>
            </w:r>
            <w:r>
              <w:rPr>
                <w:rFonts w:hint="eastAsia" w:ascii="宋体" w:hAnsi="宋体" w:eastAsia="宋体" w:cs="Times New Roman"/>
                <w:color w:val="auto"/>
                <w:lang w:val="en-US" w:eastAsia="zh-CN"/>
              </w:rPr>
              <w:t>16</w:t>
            </w:r>
            <w:r>
              <w:rPr>
                <w:rFonts w:hint="eastAsia" w:ascii="宋体" w:hAnsi="宋体" w:eastAsia="宋体" w:cs="Times New Roman"/>
                <w:color w:val="auto"/>
              </w:rPr>
              <w:t xml:space="preserve"> 日</w:t>
            </w:r>
            <w:r>
              <w:rPr>
                <w:rFonts w:hint="eastAsia" w:ascii="宋体" w:hAnsi="宋体"/>
                <w:color w:val="auto"/>
              </w:rPr>
              <w:t>召开了管理评审会议，由总经理主持。提供管理评审报告，具体内容，二阶段进一步审核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rPr>
              <w:t>管理评审结论：公司各部门基本按照管理体系标准要求实施已初步取得良好的效果。公司方针、目标、管理体系文件、质量控制等符合公司目前发展状况，所配备的各类资源基本满足管理体系要求。公司质量管理体系基本是充分、有效和适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eastAsia" w:ascii="宋体" w:eastAsia="宋体"/>
                <w:b/>
                <w:color w:val="000000"/>
                <w:szCs w:val="21"/>
                <w:lang w:val="en-US" w:eastAsia="zh-CN"/>
              </w:rPr>
            </w:pPr>
            <w:r>
              <w:rPr>
                <w:rFonts w:hint="eastAsia" w:ascii="宋体"/>
                <w:b/>
                <w:color w:val="000000"/>
                <w:szCs w:val="21"/>
                <w:lang w:val="en-US" w:eastAsia="zh-CN"/>
              </w:rPr>
              <w:t>基本符合要求</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w:t>
      </w:r>
      <w:r>
        <w:rPr>
          <w:rFonts w:ascii="宋体" w:hAnsi="宋体"/>
          <w:b w:val="0"/>
          <w:bCs/>
          <w:color w:val="000000"/>
          <w:sz w:val="20"/>
          <w:szCs w:val="20"/>
          <w:u w:val="single"/>
        </w:rPr>
        <w:t>机械加工（工矿配件的熔模铸造）</w:t>
      </w:r>
      <w:r>
        <w:rPr>
          <w:rFonts w:hint="eastAsia" w:ascii="宋体" w:hAnsi="宋体"/>
          <w:b w:val="0"/>
          <w:bCs/>
          <w:color w:val="000000"/>
          <w:sz w:val="20"/>
          <w:szCs w:val="20"/>
          <w:u w:val="single"/>
        </w:rPr>
        <w:t xml:space="preserve"> </w:t>
      </w:r>
      <w:r>
        <w:rPr>
          <w:rFonts w:ascii="宋体" w:hAnsi="宋体"/>
          <w:b w:val="0"/>
          <w:bCs/>
          <w:color w:val="000000"/>
          <w:sz w:val="20"/>
          <w:szCs w:val="20"/>
          <w:u w:val="single"/>
        </w:rPr>
        <w:t>_</w:t>
      </w:r>
      <w:r>
        <w:rPr>
          <w:rFonts w:ascii="宋体" w:hAnsi="宋体"/>
          <w:b/>
          <w:color w:val="000000"/>
          <w:sz w:val="20"/>
          <w:szCs w:val="20"/>
        </w:rPr>
        <w:t>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rPr>
          <w:rFonts w:hint="eastAsia" w:eastAsiaTheme="minorEastAsia"/>
          <w:lang w:eastAsia="zh-CN"/>
        </w:rPr>
        <w:drawing>
          <wp:anchor distT="0" distB="0" distL="114300" distR="114300" simplePos="0" relativeHeight="251702272" behindDoc="0" locked="0" layoutInCell="1" allowOverlap="1">
            <wp:simplePos x="0" y="0"/>
            <wp:positionH relativeFrom="column">
              <wp:posOffset>3114040</wp:posOffset>
            </wp:positionH>
            <wp:positionV relativeFrom="paragraph">
              <wp:posOffset>143510</wp:posOffset>
            </wp:positionV>
            <wp:extent cx="574675" cy="381635"/>
            <wp:effectExtent l="0" t="0" r="15875" b="18415"/>
            <wp:wrapNone/>
            <wp:docPr id="11" name="图片 11" descr="1590027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590027124(1)"/>
                    <pic:cNvPicPr>
                      <a:picLocks noChangeAspect="1"/>
                    </pic:cNvPicPr>
                  </pic:nvPicPr>
                  <pic:blipFill>
                    <a:blip r:embed="rId6"/>
                    <a:stretch>
                      <a:fillRect/>
                    </a:stretch>
                  </pic:blipFill>
                  <pic:spPr>
                    <a:xfrm>
                      <a:off x="0" y="0"/>
                      <a:ext cx="574675" cy="381635"/>
                    </a:xfrm>
                    <a:prstGeom prst="rect">
                      <a:avLst/>
                    </a:prstGeom>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default" w:eastAsia="宋体"/>
          <w:sz w:val="21"/>
          <w:szCs w:val="21"/>
          <w:lang w:val="en-US" w:eastAsia="zh-CN"/>
        </w:rPr>
        <w:drawing>
          <wp:anchor distT="0" distB="0" distL="114300" distR="114300" simplePos="0" relativeHeight="251658240" behindDoc="0" locked="0" layoutInCell="1" allowOverlap="1">
            <wp:simplePos x="0" y="0"/>
            <wp:positionH relativeFrom="column">
              <wp:posOffset>1872615</wp:posOffset>
            </wp:positionH>
            <wp:positionV relativeFrom="paragraph">
              <wp:posOffset>-191770</wp:posOffset>
            </wp:positionV>
            <wp:extent cx="514350" cy="371475"/>
            <wp:effectExtent l="0" t="0" r="0" b="9525"/>
            <wp:wrapSquare wrapText="bothSides"/>
            <wp:docPr id="1"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85441541"/>
                    <pic:cNvPicPr>
                      <a:picLocks noChangeAspect="1"/>
                    </pic:cNvPicPr>
                  </pic:nvPicPr>
                  <pic:blipFill>
                    <a:blip r:embed="rId7"/>
                    <a:stretch>
                      <a:fillRect/>
                    </a:stretch>
                  </pic:blipFill>
                  <pic:spPr>
                    <a:xfrm>
                      <a:off x="0" y="0"/>
                      <a:ext cx="514350" cy="371475"/>
                    </a:xfrm>
                    <a:prstGeom prst="rect">
                      <a:avLst/>
                    </a:prstGeom>
                    <a:noFill/>
                    <a:ln>
                      <a:noFill/>
                    </a:ln>
                  </pic:spPr>
                </pic:pic>
              </a:graphicData>
            </a:graphic>
          </wp:anchor>
        </w:drawing>
      </w:r>
    </w:p>
    <w:p>
      <w:pPr>
        <w:spacing w:line="400" w:lineRule="exact"/>
        <w:ind w:firstLine="840" w:firstLineChars="400"/>
        <w:rPr>
          <w:rFonts w:ascii="宋体"/>
          <w:b/>
          <w:color w:val="000000"/>
        </w:rPr>
      </w:pPr>
      <w:r>
        <w:rPr>
          <w:rFonts w:hint="default" w:eastAsia="宋体"/>
          <w:sz w:val="21"/>
          <w:szCs w:val="21"/>
          <w:lang w:val="en-US" w:eastAsia="zh-CN"/>
        </w:rPr>
        <w:drawing>
          <wp:anchor distT="0" distB="0" distL="114300" distR="114300" simplePos="0" relativeHeight="251701248" behindDoc="0" locked="0" layoutInCell="1" allowOverlap="1">
            <wp:simplePos x="0" y="0"/>
            <wp:positionH relativeFrom="column">
              <wp:posOffset>2225675</wp:posOffset>
            </wp:positionH>
            <wp:positionV relativeFrom="paragraph">
              <wp:posOffset>17780</wp:posOffset>
            </wp:positionV>
            <wp:extent cx="600075" cy="342900"/>
            <wp:effectExtent l="0" t="0" r="9525" b="0"/>
            <wp:wrapNone/>
            <wp:docPr id="10" name="图片 10" descr="郝本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郝本东"/>
                    <pic:cNvPicPr>
                      <a:picLocks noChangeAspect="1"/>
                    </pic:cNvPicPr>
                  </pic:nvPicPr>
                  <pic:blipFill>
                    <a:blip r:embed="rId8"/>
                    <a:stretch>
                      <a:fillRect/>
                    </a:stretch>
                  </pic:blipFill>
                  <pic:spPr>
                    <a:xfrm>
                      <a:off x="0" y="0"/>
                      <a:ext cx="600075" cy="342900"/>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2020-05-20</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widowControl/>
        <w:jc w:val="left"/>
        <w:rPr>
          <w:rFonts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1" w:hRule="atLeast"/>
        </w:trPr>
        <w:tc>
          <w:tcPr>
            <w:tcW w:w="948" w:type="dxa"/>
            <w:vAlign w:val="top"/>
          </w:tcPr>
          <w:p>
            <w:pPr>
              <w:spacing w:before="40" w:after="40"/>
              <w:rPr>
                <w:rFonts w:ascii="宋体"/>
                <w:color w:val="000000"/>
                <w:sz w:val="24"/>
                <w:szCs w:val="24"/>
              </w:rPr>
            </w:pPr>
            <w:r>
              <w:rPr>
                <w:rFonts w:hint="eastAsia" w:ascii="宋体" w:hAnsi="宋体"/>
                <w:sz w:val="21"/>
                <w:lang w:val="en-US" w:eastAsia="zh-CN"/>
              </w:rPr>
              <w:t>1</w:t>
            </w:r>
          </w:p>
        </w:tc>
        <w:tc>
          <w:tcPr>
            <w:tcW w:w="5681" w:type="dxa"/>
            <w:vAlign w:val="top"/>
          </w:tcPr>
          <w:p>
            <w:pPr>
              <w:numPr>
                <w:ilvl w:val="0"/>
                <w:numId w:val="1"/>
              </w:numPr>
              <w:rPr>
                <w:rFonts w:hint="eastAsia"/>
                <w:lang w:val="en-US" w:eastAsia="zh-CN"/>
              </w:rPr>
            </w:pPr>
            <w:r>
              <w:rPr>
                <w:rFonts w:hint="eastAsia"/>
                <w:lang w:val="en-US" w:eastAsia="zh-CN"/>
              </w:rPr>
              <w:t>生产工艺流程图标注关键过程和特殊过程，但质量手册描述：“</w:t>
            </w:r>
            <w:r>
              <w:rPr>
                <w:rFonts w:hint="eastAsia" w:cs="宋体"/>
                <w:b/>
                <w:bCs/>
                <w:szCs w:val="24"/>
              </w:rPr>
              <w:t>经识别公司产品的关键过程：无，特殊</w:t>
            </w:r>
            <w:r>
              <w:rPr>
                <w:rFonts w:hint="eastAsia"/>
                <w:b/>
                <w:bCs/>
              </w:rPr>
              <w:t>过程：无。</w:t>
            </w:r>
            <w:r>
              <w:rPr>
                <w:rFonts w:hint="eastAsia"/>
                <w:lang w:val="en-US" w:eastAsia="zh-CN"/>
              </w:rPr>
              <w:t>”</w:t>
            </w:r>
          </w:p>
          <w:p>
            <w:pPr>
              <w:spacing w:before="40" w:after="40"/>
              <w:rPr>
                <w:color w:val="000000"/>
                <w:sz w:val="24"/>
                <w:szCs w:val="24"/>
              </w:rPr>
            </w:pPr>
          </w:p>
        </w:tc>
        <w:tc>
          <w:tcPr>
            <w:tcW w:w="1688" w:type="dxa"/>
            <w:vAlign w:val="top"/>
          </w:tcPr>
          <w:p>
            <w:pPr>
              <w:spacing w:before="40" w:after="40"/>
              <w:rPr>
                <w:color w:val="000000"/>
                <w:sz w:val="32"/>
                <w:szCs w:val="32"/>
              </w:rPr>
            </w:pPr>
            <w:r>
              <w:rPr>
                <w:rFonts w:hint="eastAsia" w:ascii="宋体" w:hAnsi="宋体"/>
                <w:sz w:val="21"/>
                <w:lang w:val="en-US" w:eastAsia="zh-CN"/>
              </w:rPr>
              <w:t>7.5</w:t>
            </w:r>
          </w:p>
        </w:tc>
        <w:tc>
          <w:tcPr>
            <w:tcW w:w="1811" w:type="dxa"/>
            <w:vAlign w:val="top"/>
          </w:tcPr>
          <w:p>
            <w:pPr>
              <w:spacing w:before="40" w:after="40"/>
              <w:rPr>
                <w:color w:val="000000"/>
                <w:sz w:val="32"/>
                <w:szCs w:val="32"/>
              </w:rPr>
            </w:pPr>
            <w:r>
              <w:rPr>
                <w:rFonts w:hint="eastAsia"/>
                <w:sz w:val="21"/>
                <w:lang w:val="en-US" w:eastAsia="zh-CN"/>
              </w:rPr>
              <w:t>与认证范围不一致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hint="eastAsia" w:ascii="宋体" w:eastAsia="宋体"/>
                <w:color w:val="000000"/>
                <w:sz w:val="24"/>
                <w:szCs w:val="24"/>
                <w:lang w:val="en-US" w:eastAsia="zh-CN"/>
              </w:rPr>
            </w:pPr>
            <w:bookmarkStart w:id="24" w:name="_GoBack" w:colFirst="2" w:colLast="3"/>
            <w:r>
              <w:rPr>
                <w:rFonts w:hint="eastAsia" w:ascii="宋体"/>
                <w:color w:val="000000"/>
                <w:sz w:val="24"/>
                <w:szCs w:val="24"/>
                <w:lang w:val="en-US" w:eastAsia="zh-CN"/>
              </w:rPr>
              <w:t>2</w:t>
            </w:r>
          </w:p>
        </w:tc>
        <w:tc>
          <w:tcPr>
            <w:tcW w:w="5681" w:type="dxa"/>
            <w:vAlign w:val="center"/>
          </w:tcPr>
          <w:p>
            <w:pPr>
              <w:pStyle w:val="4"/>
              <w:pBdr>
                <w:bottom w:val="none" w:color="auto" w:sz="0" w:space="0"/>
              </w:pBdr>
              <w:tabs>
                <w:tab w:val="center" w:pos="5737"/>
                <w:tab w:val="clear" w:pos="4153"/>
              </w:tabs>
              <w:jc w:val="both"/>
              <w:rPr>
                <w:rFonts w:hint="default" w:ascii="Times New Roman" w:hAnsi="Times New Roman" w:eastAsia="宋体" w:cs="Times New Roman"/>
                <w:kern w:val="2"/>
                <w:sz w:val="21"/>
                <w:szCs w:val="24"/>
                <w:lang w:val="en-US" w:eastAsia="zh-CN" w:bidi="ar-SA"/>
              </w:rPr>
            </w:pPr>
            <w:r>
              <w:rPr>
                <w:rFonts w:hint="eastAsia"/>
                <w:color w:val="000000"/>
                <w:sz w:val="24"/>
                <w:szCs w:val="24"/>
                <w:lang w:eastAsia="zh-CN"/>
              </w:rPr>
              <w:t>《</w:t>
            </w:r>
            <w:r>
              <w:rPr>
                <w:rFonts w:hint="eastAsia" w:ascii="Times New Roman" w:hAnsi="Times New Roman" w:eastAsia="宋体" w:cs="Times New Roman"/>
                <w:kern w:val="2"/>
                <w:sz w:val="21"/>
                <w:szCs w:val="24"/>
                <w:lang w:val="en-US" w:eastAsia="zh-CN" w:bidi="ar-SA"/>
              </w:rPr>
              <w:t>质量目标分解表》中部门设定与质量手册不一致</w:t>
            </w:r>
          </w:p>
          <w:p>
            <w:pPr>
              <w:pStyle w:val="4"/>
              <w:pBdr>
                <w:bottom w:val="none" w:color="auto" w:sz="0" w:space="0"/>
              </w:pBdr>
              <w:tabs>
                <w:tab w:val="center" w:pos="5737"/>
                <w:tab w:val="clear" w:pos="4153"/>
              </w:tabs>
              <w:jc w:val="both"/>
              <w:rPr>
                <w:color w:val="000000"/>
                <w:sz w:val="24"/>
                <w:szCs w:val="24"/>
              </w:rPr>
            </w:pPr>
          </w:p>
        </w:tc>
        <w:tc>
          <w:tcPr>
            <w:tcW w:w="1688" w:type="dxa"/>
            <w:vAlign w:val="top"/>
          </w:tcPr>
          <w:p>
            <w:pPr>
              <w:spacing w:before="40" w:after="40"/>
              <w:rPr>
                <w:color w:val="000000"/>
                <w:sz w:val="32"/>
                <w:szCs w:val="32"/>
              </w:rPr>
            </w:pPr>
            <w:r>
              <w:rPr>
                <w:rFonts w:hint="eastAsia" w:ascii="宋体" w:hAnsi="宋体"/>
                <w:sz w:val="21"/>
                <w:lang w:val="en-US" w:eastAsia="zh-CN"/>
              </w:rPr>
              <w:t>7.5</w:t>
            </w:r>
          </w:p>
        </w:tc>
        <w:tc>
          <w:tcPr>
            <w:tcW w:w="1811" w:type="dxa"/>
            <w:vAlign w:val="top"/>
          </w:tcPr>
          <w:p>
            <w:pPr>
              <w:spacing w:before="40" w:after="40"/>
              <w:rPr>
                <w:color w:val="000000"/>
                <w:sz w:val="32"/>
                <w:szCs w:val="32"/>
              </w:rPr>
            </w:pPr>
            <w:r>
              <w:rPr>
                <w:rFonts w:hint="eastAsia"/>
                <w:sz w:val="21"/>
                <w:lang w:val="en-US" w:eastAsia="zh-CN"/>
              </w:rPr>
              <w:t>与认证范围不一致</w:t>
            </w:r>
          </w:p>
        </w:tc>
      </w:tr>
      <w:bookmark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rFonts w:hint="eastAsia"/>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pacing w:val="-10"/>
                <w:szCs w:val="21"/>
              </w:rPr>
            </w:pPr>
            <w:r>
              <w:rPr>
                <w:rFonts w:hint="eastAsia" w:eastAsiaTheme="minorEastAsia"/>
                <w:lang w:eastAsia="zh-CN"/>
              </w:rPr>
              <w:drawing>
                <wp:anchor distT="0" distB="0" distL="114300" distR="114300" simplePos="0" relativeHeight="251686912" behindDoc="0" locked="0" layoutInCell="1" allowOverlap="1">
                  <wp:simplePos x="0" y="0"/>
                  <wp:positionH relativeFrom="column">
                    <wp:posOffset>2040255</wp:posOffset>
                  </wp:positionH>
                  <wp:positionV relativeFrom="paragraph">
                    <wp:posOffset>65405</wp:posOffset>
                  </wp:positionV>
                  <wp:extent cx="481965" cy="320040"/>
                  <wp:effectExtent l="0" t="0" r="13335" b="3810"/>
                  <wp:wrapNone/>
                  <wp:docPr id="9" name="图片 9" descr="1590027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590027124(1)"/>
                          <pic:cNvPicPr>
                            <a:picLocks noChangeAspect="1"/>
                          </pic:cNvPicPr>
                        </pic:nvPicPr>
                        <pic:blipFill>
                          <a:blip r:embed="rId6"/>
                          <a:stretch>
                            <a:fillRect/>
                          </a:stretch>
                        </pic:blipFill>
                        <pic:spPr>
                          <a:xfrm>
                            <a:off x="0" y="0"/>
                            <a:ext cx="481965" cy="320040"/>
                          </a:xfrm>
                          <a:prstGeom prst="rect">
                            <a:avLst/>
                          </a:prstGeom>
                        </pic:spPr>
                      </pic:pic>
                    </a:graphicData>
                  </a:graphic>
                </wp:anchor>
              </w:drawing>
            </w:r>
            <w:r>
              <w:rPr>
                <w:rFonts w:hint="default" w:eastAsia="宋体"/>
                <w:sz w:val="21"/>
                <w:szCs w:val="21"/>
                <w:lang w:val="en-US" w:eastAsia="zh-CN"/>
              </w:rPr>
              <w:drawing>
                <wp:anchor distT="0" distB="0" distL="114300" distR="114300" simplePos="0" relativeHeight="251685888" behindDoc="0" locked="0" layoutInCell="1" allowOverlap="1">
                  <wp:simplePos x="0" y="0"/>
                  <wp:positionH relativeFrom="column">
                    <wp:posOffset>1320800</wp:posOffset>
                  </wp:positionH>
                  <wp:positionV relativeFrom="paragraph">
                    <wp:posOffset>108585</wp:posOffset>
                  </wp:positionV>
                  <wp:extent cx="600075" cy="342900"/>
                  <wp:effectExtent l="0" t="0" r="9525" b="0"/>
                  <wp:wrapNone/>
                  <wp:docPr id="8" name="图片 8" descr="郝本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郝本东"/>
                          <pic:cNvPicPr>
                            <a:picLocks noChangeAspect="1"/>
                          </pic:cNvPicPr>
                        </pic:nvPicPr>
                        <pic:blipFill>
                          <a:blip r:embed="rId8"/>
                          <a:stretch>
                            <a:fillRect/>
                          </a:stretch>
                        </pic:blipFill>
                        <pic:spPr>
                          <a:xfrm>
                            <a:off x="0" y="0"/>
                            <a:ext cx="600075" cy="342900"/>
                          </a:xfrm>
                          <a:prstGeom prst="rect">
                            <a:avLst/>
                          </a:prstGeom>
                        </pic:spPr>
                      </pic:pic>
                    </a:graphicData>
                  </a:graphic>
                </wp:anchor>
              </w:drawing>
            </w:r>
            <w:r>
              <w:rPr>
                <w:rFonts w:hint="default" w:eastAsia="宋体"/>
                <w:sz w:val="21"/>
                <w:szCs w:val="21"/>
                <w:lang w:val="en-US" w:eastAsia="zh-CN"/>
              </w:rPr>
              <w:drawing>
                <wp:anchor distT="0" distB="0" distL="114300" distR="114300" simplePos="0" relativeHeight="251662336" behindDoc="0" locked="0" layoutInCell="1" allowOverlap="1">
                  <wp:simplePos x="0" y="0"/>
                  <wp:positionH relativeFrom="column">
                    <wp:posOffset>641985</wp:posOffset>
                  </wp:positionH>
                  <wp:positionV relativeFrom="paragraph">
                    <wp:posOffset>68580</wp:posOffset>
                  </wp:positionV>
                  <wp:extent cx="514350" cy="371475"/>
                  <wp:effectExtent l="0" t="0" r="0" b="9525"/>
                  <wp:wrapSquare wrapText="bothSides"/>
                  <wp:docPr id="3" name="图片 3"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85441541"/>
                          <pic:cNvPicPr>
                            <a:picLocks noChangeAspect="1"/>
                          </pic:cNvPicPr>
                        </pic:nvPicPr>
                        <pic:blipFill>
                          <a:blip r:embed="rId7"/>
                          <a:stretch>
                            <a:fillRect/>
                          </a:stretch>
                        </pic:blipFill>
                        <pic:spPr>
                          <a:xfrm>
                            <a:off x="0" y="0"/>
                            <a:ext cx="514350" cy="371475"/>
                          </a:xfrm>
                          <a:prstGeom prst="rect">
                            <a:avLst/>
                          </a:prstGeom>
                          <a:noFill/>
                          <a:ln>
                            <a:noFill/>
                          </a:ln>
                        </pic:spPr>
                      </pic:pic>
                    </a:graphicData>
                  </a:graphic>
                </wp:anchor>
              </w:drawing>
            </w:r>
          </w:p>
          <w:p>
            <w:pPr>
              <w:spacing w:line="280" w:lineRule="exact"/>
              <w:rPr>
                <w:rFonts w:hint="eastAsia"/>
                <w:b/>
                <w:color w:val="000000"/>
                <w:spacing w:val="-10"/>
                <w:szCs w:val="21"/>
              </w:rPr>
            </w:pP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5</w:t>
            </w:r>
            <w:r>
              <w:rPr>
                <w:rFonts w:hint="eastAsia"/>
                <w:b/>
                <w:color w:val="000000"/>
                <w:sz w:val="22"/>
                <w:szCs w:val="22"/>
              </w:rPr>
              <w:t>月</w:t>
            </w:r>
            <w:r>
              <w:rPr>
                <w:rFonts w:hint="eastAsia"/>
                <w:b/>
                <w:color w:val="000000"/>
                <w:sz w:val="22"/>
                <w:szCs w:val="22"/>
                <w:lang w:val="en-US" w:eastAsia="zh-CN"/>
              </w:rPr>
              <w:t>20</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p>
          <w:p>
            <w:pPr>
              <w:tabs>
                <w:tab w:val="left" w:pos="8740"/>
              </w:tabs>
              <w:spacing w:line="360" w:lineRule="exact"/>
              <w:rPr>
                <w:rFonts w:hint="eastAsia"/>
                <w:b/>
                <w:color w:val="000000"/>
                <w:spacing w:val="-10"/>
                <w:szCs w:val="21"/>
              </w:rPr>
            </w:pPr>
            <w:r>
              <w:rPr>
                <w:rFonts w:hint="default" w:eastAsia="宋体"/>
                <w:sz w:val="21"/>
                <w:szCs w:val="21"/>
                <w:lang w:val="en-US" w:eastAsia="zh-CN"/>
              </w:rPr>
              <w:drawing>
                <wp:anchor distT="0" distB="0" distL="114300" distR="114300" simplePos="0" relativeHeight="251671552" behindDoc="0" locked="0" layoutInCell="1" allowOverlap="1">
                  <wp:simplePos x="0" y="0"/>
                  <wp:positionH relativeFrom="column">
                    <wp:posOffset>786765</wp:posOffset>
                  </wp:positionH>
                  <wp:positionV relativeFrom="paragraph">
                    <wp:posOffset>220980</wp:posOffset>
                  </wp:positionV>
                  <wp:extent cx="514350" cy="371475"/>
                  <wp:effectExtent l="0" t="0" r="0" b="9525"/>
                  <wp:wrapSquare wrapText="bothSides"/>
                  <wp:docPr id="6" name="图片 6"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585441541"/>
                          <pic:cNvPicPr>
                            <a:picLocks noChangeAspect="1"/>
                          </pic:cNvPicPr>
                        </pic:nvPicPr>
                        <pic:blipFill>
                          <a:blip r:embed="rId7"/>
                          <a:stretch>
                            <a:fillRect/>
                          </a:stretch>
                        </pic:blipFill>
                        <pic:spPr>
                          <a:xfrm>
                            <a:off x="0" y="0"/>
                            <a:ext cx="514350" cy="371475"/>
                          </a:xfrm>
                          <a:prstGeom prst="rect">
                            <a:avLst/>
                          </a:prstGeom>
                          <a:noFill/>
                          <a:ln>
                            <a:noFill/>
                          </a:ln>
                        </pic:spPr>
                      </pic:pic>
                    </a:graphicData>
                  </a:graphic>
                </wp:anchor>
              </w:drawing>
            </w:r>
          </w:p>
          <w:p>
            <w:pPr>
              <w:tabs>
                <w:tab w:val="left" w:pos="8740"/>
              </w:tabs>
              <w:spacing w:line="360" w:lineRule="exact"/>
              <w:rPr>
                <w:b/>
                <w:color w:val="000000"/>
                <w:sz w:val="22"/>
                <w:szCs w:val="22"/>
              </w:rPr>
            </w:pP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5</w:t>
            </w:r>
            <w:r>
              <w:rPr>
                <w:rFonts w:hint="eastAsia"/>
                <w:b/>
                <w:color w:val="000000"/>
                <w:sz w:val="22"/>
                <w:szCs w:val="22"/>
              </w:rPr>
              <w:t xml:space="preserve"> 月</w:t>
            </w:r>
            <w:r>
              <w:rPr>
                <w:rFonts w:hint="eastAsia"/>
                <w:b/>
                <w:color w:val="000000"/>
                <w:sz w:val="22"/>
                <w:szCs w:val="22"/>
                <w:lang w:val="en-US" w:eastAsia="zh-CN"/>
              </w:rPr>
              <w:t>20</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3075" o:spid="_x0000_s3075"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2BF2E"/>
    <w:multiLevelType w:val="singleLevel"/>
    <w:tmpl w:val="34C2BF2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A0616F"/>
    <w:rsid w:val="7F4E33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2020-05-23T00:27:42Z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