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503"/>
        <w:gridCol w:w="1143"/>
        <w:gridCol w:w="6"/>
        <w:gridCol w:w="567"/>
        <w:gridCol w:w="1242"/>
        <w:gridCol w:w="75"/>
        <w:gridCol w:w="101"/>
        <w:gridCol w:w="589"/>
        <w:gridCol w:w="261"/>
        <w:gridCol w:w="498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河北亿申路桥防护工程有限公司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安平县经济开发区经四路28号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10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刘帆</w:t>
            </w:r>
            <w:bookmarkEnd w:id="2"/>
          </w:p>
        </w:tc>
        <w:tc>
          <w:tcPr>
            <w:tcW w:w="114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15373188858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053600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10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李刚</w:t>
            </w:r>
          </w:p>
        </w:tc>
        <w:tc>
          <w:tcPr>
            <w:tcW w:w="114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b w:val="0"/>
                <w:bCs w:val="0"/>
                <w:sz w:val="21"/>
                <w:szCs w:val="21"/>
              </w:rPr>
              <w:t>793485062@qq.com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10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0185-2020-E</w:t>
            </w:r>
            <w:bookmarkEnd w:id="8"/>
          </w:p>
        </w:tc>
        <w:tc>
          <w:tcPr>
            <w:tcW w:w="11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8" w:leftChars="-51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护栏网、石笼网的生产所涉及的相关环境管理活动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17.12.03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2020年05月22日 上午至2020年05月23日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033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033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17.12.03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实习审核员</w:t>
            </w:r>
          </w:p>
        </w:tc>
        <w:tc>
          <w:tcPr>
            <w:tcW w:w="3033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25400</wp:posOffset>
                  </wp:positionV>
                  <wp:extent cx="1155700" cy="467995"/>
                  <wp:effectExtent l="0" t="0" r="0" b="1905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2020.5.21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2020.5.21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2020.5.21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6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2020.5.22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4.1/4.2/4.3/4.4/5.1/5.2/5.3/6.1/6.2/7.1/9.1/9.3/10.1/10.3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部：组织的岗位、职责权限；目标；环境因素、危险源辨识、风险评价和控制措施的确定；运</w:t>
            </w:r>
            <w:bookmarkStart w:id="17" w:name="_GoBack"/>
            <w:bookmarkEnd w:id="17"/>
            <w:r>
              <w:rPr>
                <w:rFonts w:hint="eastAsia" w:ascii="Times New Roman" w:hAnsi="Times New Roman" w:cs="Times New Roman"/>
                <w:sz w:val="21"/>
                <w:szCs w:val="21"/>
              </w:rPr>
              <w:t>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2020.5.23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；合规义务；文件化信息；人员；能力；意识；沟通；运行控制；应急准备和响应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部：组织的岗位、职责权限；目标；环境因素；运行控制；应急准备和响应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4D0E32"/>
    <w:rsid w:val="20A02A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2020-05-25T03:59:29Z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