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重庆西友新型墙体材料有限公司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产品工艺流程：</w:t>
            </w:r>
          </w:p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下料—切割冲压—折弯成型—焊接—抛光打磨—前处理—喷涂—烘烤—检验包装—入库。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10" w:hangingChars="100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需要确认过程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焊接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喷涂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过程，也是特殊过程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、物体打击、职业病等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火灾、机械伤害、物体打击、触电</w:t>
            </w:r>
            <w:r>
              <w:rPr>
                <w:rFonts w:hint="eastAsia"/>
                <w:sz w:val="20"/>
              </w:rPr>
              <w:t>事故伤害采取制定管理方案控制，</w:t>
            </w:r>
            <w:r>
              <w:rPr>
                <w:rFonts w:hint="eastAsia"/>
                <w:sz w:val="21"/>
                <w:szCs w:val="21"/>
              </w:rPr>
              <w:t>职业病</w:t>
            </w:r>
            <w:r>
              <w:rPr>
                <w:rFonts w:hint="eastAsia"/>
                <w:sz w:val="21"/>
                <w:szCs w:val="21"/>
                <w:lang w:eastAsia="zh-CN"/>
              </w:rPr>
              <w:t>采取定期体验预防控制，</w:t>
            </w:r>
            <w:r>
              <w:rPr>
                <w:rFonts w:hint="eastAsia"/>
                <w:sz w:val="20"/>
              </w:rPr>
              <w:t>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</w:t>
            </w:r>
            <w:r>
              <w:rPr>
                <w:rFonts w:hint="eastAsia"/>
                <w:sz w:val="20"/>
              </w:rPr>
              <w:t>产品质量法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、中华人民共和国计量法、中华人民共和国消费者权益保护法、欺诈消费者行为处罚办法等。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19050</wp:posOffset>
            </wp:positionV>
            <wp:extent cx="577850" cy="361950"/>
            <wp:effectExtent l="0" t="0" r="1270" b="381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9525</wp:posOffset>
            </wp:positionV>
            <wp:extent cx="603250" cy="377825"/>
            <wp:effectExtent l="0" t="0" r="6350" b="317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2020.5.18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2020.5.18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EB1B30"/>
    <w:rsid w:val="502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2020-05-16T02:06:22Z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