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default" w:ascii="楷体" w:hAnsi="楷体" w:eastAsia="楷体"/>
          <w:b/>
          <w:color w:val="000000" w:themeColor="text1"/>
          <w:sz w:val="32"/>
          <w:szCs w:val="32"/>
          <w:lang w:val="en-US" w:eastAsia="zh-CN"/>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lang w:val="en-US" w:eastAsia="zh-CN"/>
        </w:rPr>
        <w:t>任丘市申华标牌设计服务有限公司</w:t>
      </w:r>
      <w:bookmarkEnd w:id="0"/>
      <w:r>
        <w:rPr>
          <w:rFonts w:hint="eastAsia" w:ascii="楷体" w:hAnsi="楷体" w:eastAsia="楷体"/>
          <w:b/>
          <w:color w:val="000000" w:themeColor="text1"/>
          <w:sz w:val="32"/>
          <w:szCs w:val="32"/>
          <w:lang w:val="en-US" w:eastAsia="zh-CN"/>
        </w:rPr>
        <w:t>（远程审核）</w:t>
      </w:r>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151"/>
        <w:gridCol w:w="85"/>
        <w:gridCol w:w="1321"/>
        <w:gridCol w:w="1641"/>
        <w:gridCol w:w="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9"/>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119"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1406"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236" w:type="dxa"/>
            <w:gridSpan w:val="2"/>
            <w:vAlign w:val="center"/>
          </w:tcPr>
          <w:p>
            <w:pPr>
              <w:rPr>
                <w:b/>
                <w:color w:val="000000" w:themeColor="text1"/>
                <w:sz w:val="20"/>
                <w:szCs w:val="20"/>
              </w:rPr>
            </w:pPr>
            <w:r>
              <w:rPr>
                <w:rFonts w:hint="eastAsia"/>
                <w:b/>
                <w:color w:val="000000" w:themeColor="text1"/>
                <w:sz w:val="20"/>
                <w:szCs w:val="20"/>
              </w:rPr>
              <w:t>邮箱</w:t>
            </w:r>
          </w:p>
        </w:tc>
        <w:tc>
          <w:tcPr>
            <w:tcW w:w="3047"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28" w:hRule="atLeast"/>
        </w:trPr>
        <w:tc>
          <w:tcPr>
            <w:tcW w:w="9863" w:type="dxa"/>
            <w:gridSpan w:val="10"/>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2764"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3047" w:type="dxa"/>
            <w:gridSpan w:val="3"/>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2764"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O:审核员</w:t>
            </w:r>
          </w:p>
        </w:tc>
        <w:tc>
          <w:tcPr>
            <w:tcW w:w="3047" w:type="dxa"/>
            <w:gridSpan w:val="3"/>
            <w:vAlign w:val="center"/>
          </w:tcPr>
          <w:p>
            <w:pPr>
              <w:rPr>
                <w:rFonts w:hint="eastAsia"/>
                <w:b/>
                <w:szCs w:val="21"/>
              </w:rPr>
            </w:pPr>
            <w:r>
              <w:rPr>
                <w:rFonts w:hint="eastAsia"/>
                <w:b/>
                <w:szCs w:val="21"/>
              </w:rPr>
              <w:t>Q：29.12.00;34.05.00;35.05.01</w:t>
            </w:r>
          </w:p>
          <w:p>
            <w:pPr>
              <w:rPr>
                <w:rFonts w:hint="eastAsia"/>
                <w:b/>
                <w:szCs w:val="21"/>
              </w:rPr>
            </w:pPr>
            <w:r>
              <w:rPr>
                <w:rFonts w:hint="eastAsia"/>
                <w:b/>
                <w:szCs w:val="21"/>
              </w:rPr>
              <w:t>E：29.12.00;34.05.00;35.05.01</w:t>
            </w:r>
          </w:p>
          <w:p>
            <w:pPr>
              <w:spacing w:line="240" w:lineRule="exact"/>
              <w:rPr>
                <w:b/>
                <w:color w:val="000000" w:themeColor="text1"/>
                <w:sz w:val="20"/>
                <w:szCs w:val="20"/>
              </w:rPr>
            </w:pPr>
            <w:r>
              <w:rPr>
                <w:rFonts w:hint="eastAsia"/>
                <w:b/>
                <w:szCs w:val="21"/>
              </w:rPr>
              <w:t>O：29.12.00;34.05.00;35.05.01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rPr>
                <w:b/>
                <w:color w:val="000000" w:themeColor="text1"/>
                <w:sz w:val="20"/>
                <w:szCs w:val="20"/>
              </w:rPr>
            </w:pPr>
          </w:p>
        </w:tc>
        <w:tc>
          <w:tcPr>
            <w:tcW w:w="2764" w:type="dxa"/>
            <w:gridSpan w:val="3"/>
          </w:tcPr>
          <w:p>
            <w:pPr>
              <w:spacing w:line="240" w:lineRule="exact"/>
              <w:rPr>
                <w:b/>
                <w:color w:val="000000" w:themeColor="text1"/>
                <w:sz w:val="20"/>
                <w:szCs w:val="20"/>
              </w:rPr>
            </w:pPr>
          </w:p>
        </w:tc>
        <w:tc>
          <w:tcPr>
            <w:tcW w:w="3047" w:type="dxa"/>
            <w:gridSpan w:val="3"/>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351" w:hRule="atLeast"/>
        </w:trPr>
        <w:tc>
          <w:tcPr>
            <w:tcW w:w="9863" w:type="dxa"/>
            <w:gridSpan w:val="10"/>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2764" w:type="dxa"/>
            <w:gridSpan w:val="3"/>
            <w:vAlign w:val="center"/>
          </w:tcPr>
          <w:p>
            <w:pPr>
              <w:rPr>
                <w:b/>
                <w:color w:val="000000" w:themeColor="text1"/>
                <w:sz w:val="20"/>
                <w:szCs w:val="20"/>
              </w:rPr>
            </w:pPr>
            <w:r>
              <w:rPr>
                <w:rFonts w:hint="eastAsia"/>
                <w:b/>
                <w:color w:val="000000" w:themeColor="text1"/>
                <w:sz w:val="20"/>
                <w:szCs w:val="20"/>
              </w:rPr>
              <w:t>工作单位</w:t>
            </w:r>
          </w:p>
        </w:tc>
        <w:tc>
          <w:tcPr>
            <w:tcW w:w="3047"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764" w:type="dxa"/>
            <w:gridSpan w:val="3"/>
            <w:vAlign w:val="center"/>
          </w:tcPr>
          <w:p>
            <w:pPr>
              <w:rPr>
                <w:b/>
                <w:color w:val="000000" w:themeColor="text1"/>
              </w:rPr>
            </w:pPr>
          </w:p>
        </w:tc>
        <w:tc>
          <w:tcPr>
            <w:tcW w:w="3047"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764" w:type="dxa"/>
            <w:gridSpan w:val="3"/>
            <w:vAlign w:val="center"/>
          </w:tcPr>
          <w:p>
            <w:pPr>
              <w:rPr>
                <w:b/>
                <w:color w:val="000000" w:themeColor="text1"/>
              </w:rPr>
            </w:pPr>
          </w:p>
        </w:tc>
        <w:tc>
          <w:tcPr>
            <w:tcW w:w="3047" w:type="dxa"/>
            <w:gridSpan w:val="3"/>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任丘市申华标牌设计服务有限公司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10</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r>
              <w:t>任丘市议论堡乡三杰村</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r>
              <w:t>任丘市议论堡乡三杰村</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 w:name="联系人"/>
            <w:r>
              <w:t>李艳杰</w:t>
            </w:r>
            <w:bookmarkEnd w:id="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2" w:name="联系人手机"/>
            <w:r>
              <w:t>13831791298</w:t>
            </w:r>
            <w:bookmarkEnd w:id="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3" w:name="法人"/>
            <w:r>
              <w:t>王洪升</w:t>
            </w:r>
            <w:bookmarkEnd w:id="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王洪升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t>李艳杰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b/>
                <w:bCs/>
                <w:color w:val="auto"/>
                <w:szCs w:val="21"/>
              </w:rPr>
            </w:pPr>
            <w:r>
              <w:rPr>
                <w:rFonts w:hint="eastAsia" w:ascii="宋体" w:hAnsi="宋体"/>
                <w:b/>
                <w:bCs/>
                <w:color w:val="auto"/>
                <w:szCs w:val="21"/>
              </w:rPr>
              <w:t>Q：交通标牌、路牌、指路牌、标牌、标识、广告牌、公交候车亭；户外广告与LED显示屏设计、销售；金属制品（宣传栏、护栏护窗、不锈钢框）的销售</w:t>
            </w:r>
          </w:p>
          <w:p>
            <w:pPr>
              <w:rPr>
                <w:rFonts w:hint="eastAsia" w:ascii="宋体" w:hAnsi="宋体"/>
                <w:b/>
                <w:bCs/>
                <w:color w:val="auto"/>
                <w:szCs w:val="21"/>
              </w:rPr>
            </w:pPr>
            <w:r>
              <w:rPr>
                <w:rFonts w:hint="eastAsia" w:ascii="宋体" w:hAnsi="宋体"/>
                <w:b/>
                <w:bCs/>
                <w:color w:val="auto"/>
                <w:szCs w:val="21"/>
              </w:rPr>
              <w:t>E：交通标牌、路牌、指路牌、标牌、标识、广告牌、公交候车亭；户外广告与LED显示屏设计、销售；金属制品（宣传栏、护栏护窗、不锈钢框）的销售及其场所所涉及的环境管理活动</w:t>
            </w:r>
          </w:p>
          <w:p>
            <w:pPr>
              <w:snapToGrid w:val="0"/>
              <w:spacing w:line="420" w:lineRule="auto"/>
              <w:rPr>
                <w:rFonts w:ascii="宋体" w:hAnsi="宋体"/>
                <w:b/>
                <w:color w:val="000000" w:themeColor="text1"/>
                <w:sz w:val="20"/>
                <w:szCs w:val="20"/>
                <w:u w:val="single"/>
                <w:lang w:val="en-GB"/>
              </w:rPr>
            </w:pPr>
            <w:r>
              <w:rPr>
                <w:rFonts w:hint="eastAsia" w:ascii="宋体" w:hAnsi="宋体"/>
                <w:b/>
                <w:bCs/>
                <w:color w:val="auto"/>
                <w:szCs w:val="21"/>
              </w:rPr>
              <w:t xml:space="preserve">O：交通标牌、路牌、指路牌、标牌、标识、广告牌、公交候车亭；户外广告与LED显示屏设计、销售；金属制品（宣传栏、护栏护窗、不锈钢框）的销售及其场所所涉及的职业健康安全管理活动 </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4" w:name="专业代码"/>
            <w:r>
              <w:rPr>
                <w:rFonts w:hint="eastAsia"/>
                <w:b/>
                <w:szCs w:val="21"/>
              </w:rPr>
              <w:t>Q：29.12.00;34.05.00;35.05.01</w:t>
            </w:r>
          </w:p>
          <w:p>
            <w:pPr>
              <w:rPr>
                <w:rFonts w:hint="eastAsia"/>
                <w:b/>
                <w:szCs w:val="21"/>
              </w:rPr>
            </w:pPr>
            <w:r>
              <w:rPr>
                <w:rFonts w:hint="eastAsia"/>
                <w:b/>
                <w:szCs w:val="21"/>
              </w:rPr>
              <w:t>E：29.12.00;34.05.00;35.05.01</w:t>
            </w:r>
          </w:p>
          <w:p>
            <w:pPr>
              <w:spacing w:line="320" w:lineRule="exact"/>
              <w:rPr>
                <w:rFonts w:ascii="宋体" w:hAnsi="宋体"/>
                <w:b/>
                <w:color w:val="000000" w:themeColor="text1"/>
                <w:sz w:val="20"/>
                <w:szCs w:val="20"/>
              </w:rPr>
            </w:pPr>
            <w:r>
              <w:rPr>
                <w:rFonts w:hint="eastAsia"/>
                <w:b/>
                <w:szCs w:val="21"/>
              </w:rPr>
              <w:t>O：29.12.00;34.05.00;35.05.01</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rPr>
              <w:t xml:space="preserve"> 2019年8月</w:t>
            </w:r>
            <w:r>
              <w:rPr>
                <w:rFonts w:hint="eastAsia"/>
                <w:lang w:val="en-US" w:eastAsia="zh-CN"/>
              </w:rPr>
              <w:t>10</w:t>
            </w:r>
            <w:r>
              <w:rPr>
                <w:rFonts w:hint="eastAsia"/>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pStyle w:val="2"/>
            </w:pP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tcPr>
          <w:p>
            <w:pPr>
              <w:rPr>
                <w:rFonts w:hint="eastAsia"/>
                <w:color w:val="000000"/>
                <w:szCs w:val="21"/>
              </w:rPr>
            </w:pPr>
            <w:r>
              <w:rPr>
                <w:rFonts w:hint="eastAsia" w:ascii="宋体" w:hAnsi="宋体" w:cs="宋体"/>
                <w:szCs w:val="21"/>
              </w:rPr>
              <w:t>1.负责</w:t>
            </w:r>
            <w:r>
              <w:rPr>
                <w:rFonts w:hint="eastAsia" w:ascii="宋体" w:hAnsi="宋体"/>
                <w:szCs w:val="21"/>
              </w:rPr>
              <w:t>交通标牌、路牌、指路牌、标牌、标识、广告牌、公交候车亭；户外广告与LED显示屏设计、销售；金属制品（宣传栏、护栏护窗、不锈钢框）的销售</w:t>
            </w:r>
          </w:p>
          <w:p>
            <w:pPr>
              <w:rPr>
                <w:rFonts w:hint="eastAsia" w:ascii="宋体" w:hAnsi="宋体" w:cs="宋体"/>
                <w:szCs w:val="21"/>
              </w:rPr>
            </w:pPr>
            <w:r>
              <w:rPr>
                <w:rFonts w:hint="eastAsia" w:ascii="宋体" w:hAnsi="宋体"/>
                <w:szCs w:val="21"/>
                <w:lang w:val="en-US" w:eastAsia="zh-CN"/>
              </w:rPr>
              <w:t>实施</w:t>
            </w:r>
            <w:r>
              <w:rPr>
                <w:rFonts w:hint="eastAsia" w:ascii="宋体" w:hAnsi="宋体" w:cs="宋体"/>
                <w:szCs w:val="21"/>
              </w:rPr>
              <w:t>工作。</w:t>
            </w:r>
          </w:p>
          <w:p>
            <w:pPr>
              <w:rPr>
                <w:rFonts w:hint="eastAsia" w:ascii="宋体" w:hAnsi="宋体" w:cs="宋体"/>
                <w:szCs w:val="21"/>
              </w:rPr>
            </w:pPr>
            <w:r>
              <w:rPr>
                <w:rFonts w:hint="eastAsia" w:ascii="宋体" w:hAnsi="宋体" w:cs="宋体"/>
                <w:szCs w:val="21"/>
              </w:rPr>
              <w:t>2.负责组织对</w:t>
            </w:r>
            <w:r>
              <w:rPr>
                <w:rFonts w:hint="eastAsia" w:ascii="宋体" w:hAnsi="宋体"/>
                <w:szCs w:val="21"/>
              </w:rPr>
              <w:t>交通标牌、路牌、指路牌、标牌、标识、广告牌、公交候车亭；户外广告与LED显示屏设计、销售；金属制品（宣传栏、护栏护窗、不锈钢框）的销售项目管理</w:t>
            </w:r>
            <w:r>
              <w:rPr>
                <w:rFonts w:hint="eastAsia" w:ascii="宋体" w:hAnsi="宋体" w:cs="宋体"/>
                <w:szCs w:val="21"/>
              </w:rPr>
              <w:t>实现过程的策划、计划的编制，对项目实施管理、监督、检查和验收，对不合格品进行有效控制并制定合理处置方案；</w:t>
            </w:r>
          </w:p>
          <w:p>
            <w:pPr>
              <w:ind w:firstLine="420" w:firstLineChars="200"/>
              <w:rPr>
                <w:rFonts w:ascii="宋体" w:hAnsi="宋体" w:cs="宋体"/>
                <w:szCs w:val="21"/>
              </w:rPr>
            </w:pPr>
            <w:r>
              <w:rPr>
                <w:rFonts w:hint="eastAsia" w:ascii="宋体" w:hAnsi="宋体" w:cs="宋体"/>
                <w:szCs w:val="21"/>
              </w:rPr>
              <w:t>3.负责对本部门环境因素、职业健康安全风险的识别和评价，并确定重要环境因素、职业健康安全风险；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bookmarkStart w:id="5" w:name="OLE_LINK1"/>
      <w:r>
        <w:rPr>
          <w:rFonts w:hint="eastAsia"/>
          <w:b/>
          <w:color w:val="000000" w:themeColor="text1"/>
          <w:spacing w:val="-10"/>
          <w:szCs w:val="21"/>
          <w:u w:val="single"/>
        </w:rPr>
        <w:t xml:space="preserve">  1</w:t>
      </w:r>
      <w:r>
        <w:rPr>
          <w:rFonts w:hint="eastAsia"/>
          <w:b/>
          <w:color w:val="000000" w:themeColor="text1"/>
          <w:spacing w:val="-10"/>
          <w:szCs w:val="21"/>
          <w:u w:val="single"/>
          <w:lang w:val="en-US" w:eastAsia="zh-CN"/>
        </w:rPr>
        <w:t>0</w:t>
      </w:r>
      <w:r>
        <w:rPr>
          <w:rFonts w:hint="eastAsia"/>
          <w:b/>
          <w:color w:val="000000" w:themeColor="text1"/>
          <w:spacing w:val="-10"/>
          <w:szCs w:val="21"/>
          <w:u w:val="single"/>
        </w:rPr>
        <w:t xml:space="preserve"> </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5</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ascii="Times New Roman" w:hAnsi="Times New Roman" w:eastAsia="宋体" w:cs="Times New Roman"/>
                <w:bCs w:val="0"/>
                <w:spacing w:val="0"/>
                <w:kern w:val="2"/>
                <w:sz w:val="21"/>
                <w:szCs w:val="24"/>
                <w:lang w:val="en-US" w:eastAsia="zh-CN" w:bidi="ar-SA"/>
              </w:rPr>
            </w:pPr>
            <w:r>
              <w:rPr>
                <w:rStyle w:val="16"/>
                <w:rFonts w:hint="eastAsia" w:ascii="Arial" w:hAnsi="Arial" w:cs="Arial"/>
                <w:color w:val="333333"/>
                <w:szCs w:val="22"/>
                <w:shd w:val="clear" w:color="auto" w:fill="FFFFFF"/>
              </w:rPr>
              <w:t>任丘市申华标牌设计服务有限公司</w:t>
            </w:r>
            <w:r>
              <w:rPr>
                <w:rStyle w:val="16"/>
                <w:rFonts w:hint="eastAsia" w:ascii="Arial" w:hAnsi="Arial" w:cs="Arial"/>
                <w:color w:val="333333"/>
                <w:szCs w:val="22"/>
                <w:shd w:val="clear" w:color="auto" w:fill="FFFFFF"/>
                <w:lang w:eastAsia="zh-CN"/>
              </w:rPr>
              <w:t>，</w:t>
            </w:r>
            <w:r>
              <w:rPr>
                <w:rStyle w:val="16"/>
                <w:rFonts w:hint="eastAsia" w:ascii="Arial" w:hAnsi="Arial" w:cs="Arial"/>
                <w:color w:val="333333"/>
                <w:szCs w:val="22"/>
                <w:shd w:val="clear" w:color="auto" w:fill="FFFFFF"/>
              </w:rPr>
              <w:t>2013-12-09日成立，营业期限2013-12-09 至 2063-12-08限，注册资金：</w:t>
            </w:r>
            <w:r>
              <w:rPr>
                <w:rStyle w:val="16"/>
                <w:rFonts w:hint="eastAsia" w:ascii="Arial" w:hAnsi="Arial" w:cs="Arial"/>
                <w:color w:val="333333"/>
                <w:szCs w:val="22"/>
                <w:shd w:val="clear" w:color="auto" w:fill="FFFFFF"/>
                <w:lang w:val="en-US" w:eastAsia="zh-CN"/>
              </w:rPr>
              <w:t>2000</w:t>
            </w:r>
            <w:r>
              <w:rPr>
                <w:rStyle w:val="16"/>
                <w:rFonts w:hint="eastAsia" w:ascii="Arial" w:hAnsi="Arial" w:cs="Arial"/>
                <w:color w:val="333333"/>
                <w:szCs w:val="22"/>
                <w:shd w:val="clear" w:color="auto" w:fill="FFFFFF"/>
              </w:rPr>
              <w:t>万，企业信用代码：9113098208497475X8，注册地址：任丘市议论堡乡三杰村，</w:t>
            </w:r>
            <w:r>
              <w:rPr>
                <w:rStyle w:val="16"/>
                <w:rFonts w:hint="eastAsia" w:ascii="Arial" w:hAnsi="Arial" w:cs="Arial"/>
                <w:color w:val="333333"/>
                <w:szCs w:val="22"/>
                <w:shd w:val="clear" w:color="auto" w:fill="FFFFFF"/>
                <w:lang w:val="en-US" w:eastAsia="zh-CN"/>
              </w:rPr>
              <w:t>经营地址：</w:t>
            </w:r>
            <w:bookmarkStart w:id="6" w:name="生产地址"/>
            <w:r>
              <w:rPr>
                <w:rStyle w:val="16"/>
                <w:rFonts w:hint="eastAsia" w:ascii="Arial" w:hAnsi="Arial" w:cs="Arial"/>
                <w:color w:val="333333"/>
                <w:szCs w:val="22"/>
                <w:shd w:val="clear" w:color="auto" w:fill="FFFFFF"/>
              </w:rPr>
              <w:t>任丘市议论堡乡三杰村</w:t>
            </w:r>
            <w:bookmarkEnd w:id="6"/>
          </w:p>
          <w:p>
            <w:pPr>
              <w:pStyle w:val="2"/>
            </w:pPr>
            <w:r>
              <w:rPr>
                <w:rFonts w:hint="eastAsia" w:ascii="Times New Roman" w:hAnsi="Times New Roman" w:eastAsia="宋体" w:cs="Times New Roman"/>
                <w:bCs w:val="0"/>
                <w:spacing w:val="0"/>
                <w:kern w:val="2"/>
                <w:sz w:val="21"/>
                <w:szCs w:val="24"/>
                <w:lang w:val="en-US" w:eastAsia="zh-CN" w:bidi="ar-SA"/>
              </w:rPr>
              <w:t>内外部环境、相关方的需求，其对政策、质量法规、环境法规、职业健康安全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w:t>
            </w:r>
            <w:r>
              <w:rPr>
                <w:rFonts w:hint="eastAsia"/>
                <w:lang w:val="en-US" w:eastAsia="zh-CN"/>
              </w:rPr>
              <w:t>现场</w:t>
            </w:r>
            <w:r>
              <w:rPr>
                <w:rFonts w:hint="eastAsia"/>
              </w:rPr>
              <w:t>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632" w:firstLineChars="300"/>
              <w:rPr>
                <w:rFonts w:hint="eastAsia"/>
                <w:b/>
                <w:bCs/>
              </w:rPr>
            </w:pPr>
            <w:r>
              <w:rPr>
                <w:rFonts w:hint="eastAsia"/>
                <w:b/>
                <w:bCs/>
              </w:rPr>
              <w:t>守法诚信追求质量，预防污染保护环境；</w:t>
            </w:r>
          </w:p>
          <w:p>
            <w:pPr>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color w:val="000000"/>
                <w:kern w:val="0"/>
              </w:rPr>
            </w:pPr>
            <w:r>
              <w:rPr>
                <w:rFonts w:hint="eastAsia"/>
                <w:color w:val="000000"/>
                <w:kern w:val="0"/>
              </w:rPr>
              <w:t>销售：客户接触----合同评审----签订合同-----客户付款------入帐------采购-----客户提货-----验收</w:t>
            </w:r>
          </w:p>
          <w:p>
            <w:pPr>
              <w:pStyle w:val="2"/>
              <w:rPr>
                <w:rFonts w:hint="eastAsia"/>
              </w:rPr>
            </w:pPr>
          </w:p>
          <w:p>
            <w:pPr>
              <w:rPr>
                <w:rFonts w:hint="eastAsia"/>
                <w:bCs/>
                <w:szCs w:val="22"/>
              </w:rPr>
            </w:pPr>
            <w:r>
              <w:rPr>
                <w:rFonts w:hint="eastAsia" w:hAnsi="宋体" w:cs="宋体"/>
                <w:b/>
                <w:kern w:val="0"/>
                <w:szCs w:val="21"/>
                <w:lang w:bidi="ar"/>
              </w:rPr>
              <w:t>标牌的设计流程：顾客沟通----合同评审----签订合同----客户支付预付款-----设计师设计图纸----交与客户审核---------确定图纸----根据图纸进行产品加工生产------产品验收</w:t>
            </w:r>
          </w:p>
          <w:p>
            <w:pPr>
              <w:pStyle w:val="2"/>
              <w:rPr>
                <w:rFonts w:hint="default"/>
                <w:lang w:val="en-US" w:eastAsia="zh-CN"/>
              </w:rPr>
            </w:pPr>
          </w:p>
          <w:p>
            <w:pPr>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szCs w:val="21"/>
              </w:rPr>
              <w:t>设计</w:t>
            </w:r>
            <w:r>
              <w:rPr>
                <w:rFonts w:hint="eastAsia" w:ascii="宋体" w:hAnsi="宋体"/>
                <w:szCs w:val="21"/>
                <w:lang w:val="en-US" w:eastAsia="zh-CN"/>
              </w:rPr>
              <w:t>过程</w:t>
            </w:r>
            <w:r>
              <w:rPr>
                <w:rFonts w:hint="eastAsia" w:ascii="宋体" w:hAnsi="宋体"/>
                <w:szCs w:val="21"/>
              </w:rPr>
              <w:t>；</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需要确认过程  </w:t>
            </w: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szCs w:val="21"/>
                <w:lang w:val="en-US" w:eastAsia="zh-CN"/>
              </w:rPr>
              <w:t xml:space="preserve">销售过程 </w: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rPr>
                <w:rFonts w:hint="eastAsia"/>
                <w:szCs w:val="21"/>
              </w:rPr>
            </w:pPr>
            <w:r>
              <w:rPr>
                <w:rFonts w:hint="eastAsia"/>
                <w:szCs w:val="21"/>
              </w:rPr>
              <w:t xml:space="preserve">6. EMS环境因素/ </w:t>
            </w:r>
          </w:p>
          <w:p>
            <w:pPr>
              <w:rPr>
                <w:rFonts w:hint="eastAsia"/>
                <w:szCs w:val="21"/>
              </w:rPr>
            </w:pPr>
            <w:r>
              <w:rPr>
                <w:rFonts w:hint="eastAsia"/>
                <w:szCs w:val="21"/>
              </w:rPr>
              <w:t>（环境因素辨识是否充分、重要环境因素评价合理性，以及环境因素动态变更的及时性等）</w:t>
            </w:r>
          </w:p>
          <w:p>
            <w:pPr>
              <w:rPr>
                <w:rFonts w:hint="eastAsia"/>
                <w:szCs w:val="21"/>
              </w:rPr>
            </w:pPr>
            <w:r>
              <w:rPr>
                <w:rFonts w:hint="eastAsia"/>
                <w:szCs w:val="21"/>
              </w:rPr>
              <w:t>编制了《环境因素的识别与评价控制程序》符合标准要求.</w:t>
            </w:r>
          </w:p>
          <w:p>
            <w:pPr>
              <w:rPr>
                <w:rFonts w:hint="eastAsia"/>
                <w:szCs w:val="21"/>
              </w:rPr>
            </w:pPr>
            <w:r>
              <w:rPr>
                <w:rFonts w:hint="eastAsia"/>
                <w:szCs w:val="21"/>
              </w:rPr>
              <w:t>提供的“环境因素识别评价表”“重要环境因素清单”， 评价考虑了三种时态现在、过去、将来、三种状态、异常、正常、紧急考虑了法律法规，并进行了评价，针对</w:t>
            </w:r>
            <w:r>
              <w:rPr>
                <w:rFonts w:hint="eastAsia"/>
                <w:szCs w:val="21"/>
                <w:lang w:val="en-US" w:eastAsia="zh-CN"/>
              </w:rPr>
              <w:t>设计、销售</w:t>
            </w:r>
            <w:r>
              <w:rPr>
                <w:rFonts w:hint="eastAsia"/>
                <w:szCs w:val="21"/>
              </w:rPr>
              <w:t>管理过程，用打分法考虑了法规符合性、发生频次、影响范围等, 通过定性判断法，共识别出重大环境因素</w:t>
            </w:r>
            <w:r>
              <w:rPr>
                <w:rFonts w:hint="eastAsia"/>
                <w:szCs w:val="21"/>
                <w:lang w:val="en-US" w:eastAsia="zh-CN"/>
              </w:rPr>
              <w:t>2</w:t>
            </w:r>
            <w:r>
              <w:rPr>
                <w:rFonts w:hint="eastAsia"/>
                <w:szCs w:val="21"/>
              </w:rPr>
              <w:t>项：固废排放</w:t>
            </w:r>
            <w:r>
              <w:rPr>
                <w:rFonts w:hint="eastAsia"/>
                <w:szCs w:val="21"/>
                <w:lang w:eastAsia="zh-CN"/>
              </w:rPr>
              <w:t>、</w:t>
            </w:r>
            <w:r>
              <w:rPr>
                <w:rFonts w:hint="eastAsia"/>
                <w:szCs w:val="21"/>
                <w:lang w:val="en-US" w:eastAsia="zh-CN"/>
              </w:rPr>
              <w:t>火灾</w:t>
            </w:r>
            <w:r>
              <w:rPr>
                <w:rFonts w:hint="eastAsia"/>
                <w:szCs w:val="21"/>
              </w:rPr>
              <w:t>，评价符合程序要求及公司的实际情况。</w:t>
            </w:r>
          </w:p>
          <w:p>
            <w:pPr>
              <w:rPr>
                <w:rFonts w:hint="eastAsia"/>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rPr>
                <w:rFonts w:hint="eastAsia"/>
                <w:szCs w:val="21"/>
              </w:rPr>
            </w:pPr>
            <w:r>
              <w:rPr>
                <w:rFonts w:hint="eastAsia"/>
                <w:szCs w:val="21"/>
              </w:rPr>
              <w:t>7. OHSMS职业健康安全危险源</w:t>
            </w:r>
          </w:p>
          <w:p>
            <w:pPr>
              <w:rPr>
                <w:rFonts w:hint="eastAsia"/>
                <w:szCs w:val="21"/>
              </w:rPr>
            </w:pPr>
            <w:r>
              <w:rPr>
                <w:rFonts w:hint="eastAsia"/>
                <w:szCs w:val="21"/>
              </w:rPr>
              <w:t>（职业健康安全危险源辨识是否充分、风险评价合理性，以及风险评价动态变更的及时性等）</w:t>
            </w:r>
          </w:p>
          <w:p>
            <w:pPr>
              <w:rPr>
                <w:rFonts w:hint="eastAsia"/>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项，涉及：火灾、触电、意外伤害，评价符合程序要求及公司的实际情况。对危险源的控制措施包括制定管理制度、监督检查、应急预案、培训等。</w:t>
            </w:r>
          </w:p>
          <w:p>
            <w:pPr>
              <w:rPr>
                <w:rFonts w:hint="eastAsia"/>
                <w:szCs w:val="21"/>
              </w:rPr>
            </w:pPr>
            <w:r>
              <w:rPr>
                <w:rFonts w:hint="eastAsia"/>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10</w:t>
            </w:r>
            <w:r>
              <w:rPr>
                <w:rFonts w:hint="eastAsia"/>
                <w:bCs/>
                <w:szCs w:val="21"/>
              </w:rPr>
              <w:t>人，管理人</w:t>
            </w:r>
            <w:r>
              <w:rPr>
                <w:rFonts w:hint="eastAsia"/>
                <w:bCs/>
                <w:szCs w:val="21"/>
                <w:lang w:val="en-US" w:eastAsia="zh-CN"/>
              </w:rPr>
              <w:t>3</w:t>
            </w:r>
            <w:r>
              <w:rPr>
                <w:rFonts w:hint="eastAsia"/>
                <w:bCs/>
                <w:szCs w:val="21"/>
              </w:rPr>
              <w:t>人。有专业的</w:t>
            </w:r>
            <w:r>
              <w:rPr>
                <w:rFonts w:hint="eastAsia" w:ascii="宋体" w:hAnsi="宋体"/>
                <w:szCs w:val="21"/>
              </w:rPr>
              <w:t>设计</w:t>
            </w:r>
            <w:r>
              <w:rPr>
                <w:rFonts w:hint="eastAsia" w:ascii="宋体" w:hAnsi="宋体"/>
                <w:szCs w:val="21"/>
                <w:lang w:val="en-US" w:eastAsia="zh-CN"/>
              </w:rPr>
              <w:t>人员、销售</w:t>
            </w:r>
            <w:r>
              <w:rPr>
                <w:rFonts w:hint="eastAsia"/>
                <w:bCs/>
                <w:szCs w:val="21"/>
              </w:rPr>
              <w:t>人员，能满足</w:t>
            </w:r>
            <w:r>
              <w:rPr>
                <w:rFonts w:hint="eastAsia" w:ascii="宋体" w:hAnsi="宋体"/>
                <w:b/>
                <w:bCs/>
                <w:color w:val="auto"/>
                <w:szCs w:val="21"/>
              </w:rPr>
              <w:t>交通标牌、路牌、指路牌、标牌、标识、广告牌、公交候车亭；户外广告与LED显示屏设计、销售；金属制品（宣传栏、护栏护窗、不锈钢框）的销售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6"/>
                <w:rFonts w:ascii="Arial" w:hAnsi="Arial" w:cs="Arial"/>
                <w:color w:val="333333"/>
                <w:shd w:val="clear" w:color="auto" w:fill="FFFFFF"/>
              </w:rPr>
            </w:pPr>
            <w:r>
              <w:rPr>
                <w:rStyle w:val="16"/>
                <w:rFonts w:hint="eastAsia" w:ascii="Arial" w:hAnsi="Arial" w:cs="Arial"/>
                <w:color w:val="333333"/>
                <w:shd w:val="clear" w:color="auto" w:fill="FFFFFF"/>
              </w:rPr>
              <w:t>办公设备：电脑、电话、打印机</w:t>
            </w:r>
            <w:r>
              <w:rPr>
                <w:rStyle w:val="16"/>
                <w:rFonts w:hint="eastAsia" w:ascii="Arial" w:hAnsi="Arial" w:cs="Arial"/>
                <w:color w:val="333333"/>
                <w:shd w:val="clear" w:color="auto" w:fill="FFFFFF"/>
                <w:lang w:eastAsia="zh-CN"/>
              </w:rPr>
              <w:t>、</w:t>
            </w:r>
            <w:r>
              <w:rPr>
                <w:rStyle w:val="16"/>
                <w:rFonts w:hint="eastAsia" w:ascii="Arial" w:hAnsi="Arial" w:cs="Arial"/>
                <w:color w:val="333333"/>
                <w:shd w:val="clear" w:color="auto" w:fill="FFFFFF"/>
                <w:lang w:val="en-US" w:eastAsia="zh-CN"/>
              </w:rPr>
              <w:t>CAD设计软件</w:t>
            </w:r>
            <w:r>
              <w:rPr>
                <w:rStyle w:val="16"/>
                <w:rFonts w:hint="eastAsia" w:ascii="Arial" w:hAnsi="Arial" w:cs="Arial"/>
                <w:color w:val="333333"/>
                <w:shd w:val="clear" w:color="auto" w:fill="FFFFFF"/>
              </w:rPr>
              <w:t>等</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环保设备：垃圾桶、灭火器</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color w:val="0000FF"/>
                <w:lang w:val="en-US" w:eastAsia="zh-CN"/>
              </w:rPr>
              <w:t>远程</w:t>
            </w:r>
            <w:r>
              <w:rPr>
                <w:rFonts w:hint="eastAsia"/>
              </w:rPr>
              <w:t>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default" w:eastAsia="宋体"/>
                <w:lang w:val="en-US" w:eastAsia="zh-CN"/>
              </w:rPr>
            </w:pPr>
            <w:r>
              <w:rPr>
                <w:rFonts w:hint="eastAsia"/>
                <w:lang w:val="en-US" w:eastAsia="zh-CN"/>
              </w:rPr>
              <w:t>需确认过程有：</w:t>
            </w:r>
            <w:r>
              <w:rPr>
                <w:rFonts w:hint="eastAsia" w:ascii="宋体" w:hAnsi="宋体"/>
                <w:szCs w:val="21"/>
                <w:lang w:val="en-US" w:eastAsia="zh-CN"/>
              </w:rPr>
              <w:t>销售过程</w:t>
            </w:r>
          </w:p>
          <w:p>
            <w:r>
              <w:rPr>
                <w:rFonts w:hint="eastAsia"/>
              </w:rPr>
              <w:t>提供《</w:t>
            </w:r>
            <w:r>
              <w:rPr>
                <w:rFonts w:hint="eastAsia"/>
                <w:lang w:val="en-US" w:eastAsia="zh-CN"/>
              </w:rPr>
              <w:t>特殊</w:t>
            </w:r>
            <w:r>
              <w:rPr>
                <w:rFonts w:hint="eastAsia"/>
              </w:rPr>
              <w:t>过程确认记录表》，确认内容包括</w:t>
            </w:r>
            <w:r>
              <w:rPr>
                <w:rFonts w:hint="eastAsia"/>
                <w:color w:val="000000"/>
              </w:rPr>
              <w:t>确认内容包括：销售服务方法和程序、销售服务程序、设备工具的认可、人员资格的鉴定、记录要求等。评审结论：根据公司实际情况，销售服务实现过程按照公司质量控制管理制度进行，过程所用基础设施均处在完好状态，从业人员经过培训，胜任本职工作，可以提供满足顾客要求、法律法规要求的服务。</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b/>
                <w:color w:val="000000" w:themeColor="text1"/>
                <w:sz w:val="20"/>
                <w:szCs w:val="20"/>
              </w:rPr>
            </w:pPr>
            <w:r>
              <w:rPr>
                <w:rFonts w:hint="eastAsia"/>
                <w:bCs/>
                <w:szCs w:val="21"/>
              </w:rPr>
              <w:t>按照顾客和合同要求进行服务，能够稳定的向顾客提供</w:t>
            </w:r>
            <w:r>
              <w:rPr>
                <w:rFonts w:hint="eastAsia" w:ascii="宋体" w:hAnsi="宋体"/>
                <w:b/>
                <w:bCs/>
                <w:color w:val="auto"/>
                <w:szCs w:val="21"/>
              </w:rPr>
              <w:t>交通标牌、路牌、指路牌、标牌、标识、广告牌、公交候车亭；户外广告与LED显示屏设计、销售；金属制品（宣传栏、护栏护窗、不锈钢框）的销售</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见附件</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Cs/>
                <w:szCs w:val="21"/>
              </w:rPr>
            </w:pPr>
            <w:r>
              <w:rPr>
                <w:rFonts w:hint="eastAsia"/>
                <w:bCs/>
                <w:szCs w:val="21"/>
              </w:rPr>
              <w:t>7. EMS组织对重要环境因素实施控制的结果</w:t>
            </w:r>
          </w:p>
          <w:p>
            <w:pPr>
              <w:spacing w:line="240" w:lineRule="exact"/>
              <w:rPr>
                <w:rFonts w:hint="eastAsia"/>
                <w:bCs/>
                <w:szCs w:val="21"/>
              </w:rPr>
            </w:pPr>
            <w:r>
              <w:rPr>
                <w:rFonts w:hint="eastAsia"/>
                <w:bCs/>
                <w:szCs w:val="21"/>
              </w:rPr>
              <w:t>（EMS对重要环境因素控制，重大环境因素对周边环境产生的影响及控制;对相关方施加影响）</w:t>
            </w:r>
          </w:p>
          <w:p>
            <w:pPr>
              <w:spacing w:line="240" w:lineRule="exact"/>
              <w:rPr>
                <w:rFonts w:hint="eastAsia"/>
                <w:bCs/>
                <w:szCs w:val="21"/>
              </w:rPr>
            </w:pPr>
          </w:p>
          <w:p>
            <w:pPr>
              <w:spacing w:line="240" w:lineRule="exact"/>
              <w:rPr>
                <w:rFonts w:hint="eastAsia"/>
                <w:bCs/>
                <w:szCs w:val="21"/>
              </w:rPr>
            </w:pPr>
            <w:r>
              <w:rPr>
                <w:rFonts w:hint="eastAsia"/>
                <w:bCs/>
                <w:szCs w:val="21"/>
              </w:rPr>
              <w:t>对重要环境因素（固废排放、</w:t>
            </w:r>
            <w:r>
              <w:rPr>
                <w:rFonts w:hint="eastAsia"/>
                <w:bCs/>
                <w:szCs w:val="21"/>
                <w:lang w:val="en-US" w:eastAsia="zh-CN"/>
              </w:rPr>
              <w:t>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Cs/>
                <w:szCs w:val="21"/>
              </w:rPr>
            </w:pPr>
            <w:r>
              <w:rPr>
                <w:rFonts w:hint="eastAsia"/>
                <w:bCs/>
                <w:szCs w:val="21"/>
              </w:rPr>
              <w:t>8. OHS 组织对不可接受风险实施控制的结果</w:t>
            </w:r>
          </w:p>
          <w:p>
            <w:pPr>
              <w:spacing w:line="240" w:lineRule="exact"/>
              <w:rPr>
                <w:rFonts w:hint="eastAsia"/>
                <w:bCs/>
                <w:szCs w:val="21"/>
              </w:rPr>
            </w:pPr>
          </w:p>
          <w:p>
            <w:pPr>
              <w:spacing w:line="240" w:lineRule="exact"/>
              <w:rPr>
                <w:rFonts w:hint="eastAsia"/>
                <w:bCs/>
                <w:szCs w:val="21"/>
              </w:rPr>
            </w:pPr>
            <w:r>
              <w:rPr>
                <w:rFonts w:hint="eastAsia"/>
                <w:bCs/>
                <w:szCs w:val="21"/>
              </w:rPr>
              <w:t>对不可接受风险（火灾、触电、意外伤害）进行了识别和控制。目前公司不可接受风险对公司及周边环境影响不大，可得到有效控制。对相关方进行了必要告知。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.对危险化学品物业管理、使用、储存、运输处置，规定的执行力度(必要时);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pStyle w:val="2"/>
        <w:numPr>
          <w:ilvl w:val="0"/>
          <w:numId w:val="0"/>
        </w:numPr>
        <w:rPr>
          <w:rFonts w:hint="default" w:eastAsia="宋体"/>
          <w:color w:val="FF0000"/>
          <w:lang w:val="en-US" w:eastAsia="zh-CN"/>
        </w:rPr>
      </w:pPr>
      <w:r>
        <w:rPr>
          <w:rFonts w:hint="eastAsia"/>
          <w:color w:val="FF0000"/>
          <w:lang w:val="en-US" w:eastAsia="zh-CN"/>
        </w:rPr>
        <w:t>受疫情影响，本次为远程审核，后续将安排现场审核，对本次远程审核进行核验。</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rPr>
        <w:sym w:font="Wingdings" w:char="00A8"/>
      </w:r>
      <w:r>
        <w:rPr>
          <w:rFonts w:hint="eastAsia"/>
          <w:b/>
          <w:color w:val="000000" w:themeColor="text1"/>
          <w:szCs w:val="21"/>
        </w:rPr>
        <w:t>EMS(  )个一般不符合，(  )个严重不符合，</w:t>
      </w:r>
      <w:r>
        <w:rPr>
          <w:rFonts w:hint="eastAsia"/>
          <w:b/>
          <w:color w:val="000000" w:themeColor="text1"/>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rPr>
        <w:sym w:font="Wingdings" w:char="00A8"/>
      </w:r>
      <w:r>
        <w:rPr>
          <w:rFonts w:hint="eastAsia"/>
          <w:b/>
          <w:color w:val="000000" w:themeColor="text1"/>
          <w:szCs w:val="21"/>
        </w:rPr>
        <w:t>OHSMS(  )个一般不符合，(  )个严重不符合，</w:t>
      </w:r>
      <w:r>
        <w:rPr>
          <w:rFonts w:hint="eastAsia"/>
          <w:b/>
          <w:color w:val="000000" w:themeColor="text1"/>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5</w:t>
      </w:r>
      <w:r>
        <w:rPr>
          <w:rFonts w:hint="eastAsia"/>
          <w:b/>
          <w:color w:val="000000" w:themeColor="text1"/>
          <w:szCs w:val="21"/>
        </w:rPr>
        <w:t xml:space="preserve"> 月</w:t>
      </w:r>
      <w:r>
        <w:rPr>
          <w:rFonts w:hint="eastAsia"/>
          <w:b/>
          <w:color w:val="000000" w:themeColor="text1"/>
          <w:szCs w:val="21"/>
          <w:lang w:val="en-US" w:eastAsia="zh-CN"/>
        </w:rPr>
        <w:t>26</w:t>
      </w:r>
      <w:bookmarkStart w:id="7" w:name="_GoBack"/>
      <w:bookmarkEnd w:id="7"/>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C5D53C9"/>
    <w:multiLevelType w:val="singleLevel"/>
    <w:tmpl w:val="7C5D53C9"/>
    <w:lvl w:ilvl="0" w:tentative="0">
      <w:start w:val="13"/>
      <w:numFmt w:val="chineseCounting"/>
      <w:suff w:val="space"/>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06D82E51"/>
    <w:rsid w:val="09CD4F64"/>
    <w:rsid w:val="0A271CF7"/>
    <w:rsid w:val="14E11A4F"/>
    <w:rsid w:val="163F54A9"/>
    <w:rsid w:val="1C440198"/>
    <w:rsid w:val="21611269"/>
    <w:rsid w:val="21A15F24"/>
    <w:rsid w:val="23626857"/>
    <w:rsid w:val="30412F8C"/>
    <w:rsid w:val="35552477"/>
    <w:rsid w:val="39A60EB0"/>
    <w:rsid w:val="3C6210A8"/>
    <w:rsid w:val="4B4A3A22"/>
    <w:rsid w:val="50D460E6"/>
    <w:rsid w:val="5CDD1C2D"/>
    <w:rsid w:val="63A901AD"/>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0</TotalTime>
  <ScaleCrop>false</ScaleCrop>
  <LinksUpToDate>false</LinksUpToDate>
  <CharactersWithSpaces>9064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2020-05-31T15:01:53Z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