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0205-2020-Q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北京翼恒科创科技有限公司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sz w:val="18"/>
                <w:szCs w:val="18"/>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rFonts w:hint="eastAsia"/>
                <w:b/>
                <w:szCs w:val="21"/>
              </w:rPr>
              <w:t>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hAnsi="宋体"/>
          <w:b/>
          <w:color w:val="000000"/>
          <w:sz w:val="20"/>
          <w:szCs w:val="20"/>
          <w:lang w:val="de-DE"/>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北京翼恒科创科技有限公司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t>北京市丰台区方庄南路2号26层2607</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bookmarkStart w:id="9" w:name="经营地址"/>
            <w:bookmarkEnd w:id="9"/>
            <w:r>
              <w:t>北京市丰台区方庄南路2号26层2607</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1" w:name="联系人"/>
            <w:r>
              <w:t>王</w:t>
            </w:r>
            <w:bookmarkEnd w:id="11"/>
            <w:r>
              <w:rPr>
                <w:rFonts w:hint="eastAsia"/>
                <w:lang w:val="en-US" w:eastAsia="zh-CN"/>
              </w:rPr>
              <w:t>俭</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2" w:name="联系人手机"/>
            <w:r>
              <w:t>13370144618</w:t>
            </w:r>
            <w:bookmarkEnd w:id="12"/>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t>王</w:t>
            </w:r>
            <w:r>
              <w:rPr>
                <w:rFonts w:hint="eastAsia"/>
                <w:lang w:val="en-US" w:eastAsia="zh-CN"/>
              </w:rPr>
              <w:t>俭</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rPr>
              <w:t>徐荣荣</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r>
              <w:rPr>
                <w:rFonts w:ascii="宋体"/>
                <w:b/>
                <w:color w:val="000000"/>
                <w:sz w:val="20"/>
                <w:szCs w:val="20"/>
              </w:rPr>
              <w:t>331963292@qq.com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2019.</w:t>
            </w:r>
            <w:r>
              <w:rPr>
                <w:rFonts w:hint="eastAsia" w:ascii="宋体"/>
                <w:b/>
                <w:color w:val="000000"/>
                <w:sz w:val="20"/>
                <w:szCs w:val="20"/>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hint="eastAsia" w:ascii="宋体" w:hAnsi="宋体"/>
                <w:b/>
                <w:color w:val="000000"/>
                <w:sz w:val="20"/>
                <w:szCs w:val="20"/>
                <w:lang w:val="en-US" w:eastAsia="zh-CN"/>
              </w:rPr>
              <w:t>QMS:</w:t>
            </w:r>
            <w:bookmarkEnd w:id="15"/>
            <w:r>
              <w:rPr>
                <w:rFonts w:hint="eastAsia" w:ascii="宋体" w:hAnsi="宋体"/>
                <w:szCs w:val="21"/>
              </w:rPr>
              <w:t xml:space="preserve">机械零部件的销售及技术服务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hint="eastAsia"/>
                <w:b/>
                <w:szCs w:val="21"/>
              </w:rPr>
              <w:t>29.10.07;34.06.00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F0A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综合部、生技部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办公场所，销售场所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F0A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F0A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机械零部件的销售及技术服务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生技部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7" w:name="注册地址"/>
            <w:r>
              <w:t>北京市丰台区方庄南路2号26层2607</w:t>
            </w:r>
            <w:bookmarkEnd w:id="17"/>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FF"/>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olor w:val="0000FF"/>
                <w:spacing w:val="-10"/>
                <w:sz w:val="20"/>
                <w:szCs w:val="20"/>
              </w:rPr>
              <w:t>：</w:t>
            </w:r>
          </w:p>
          <w:p>
            <w:pPr>
              <w:rPr>
                <w:rFonts w:hint="eastAsia"/>
              </w:rPr>
            </w:pPr>
            <w:r>
              <w:rPr>
                <w:rFonts w:hint="eastAsia"/>
              </w:rPr>
              <w:t>未注尺寸公差GB/T 1804-2000、</w:t>
            </w:r>
          </w:p>
          <w:p>
            <w:pPr>
              <w:rPr>
                <w:rFonts w:hint="eastAsia"/>
              </w:rPr>
            </w:pPr>
            <w:r>
              <w:rPr>
                <w:rFonts w:hint="eastAsia"/>
              </w:rPr>
              <w:t>气焊设备 焊接、切割及相关工艺用炬JB/T 7947-2017</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rPr>
              <w:t>1.销售流程：顾客沟通→合同评审→签订合同→实施采购→供方送货→顾客签收→交付及售后服务</w:t>
            </w:r>
          </w:p>
          <w:p>
            <w:pPr>
              <w:rPr>
                <w:rFonts w:hint="eastAsia"/>
              </w:rPr>
            </w:pPr>
            <w:r>
              <w:rPr>
                <w:rFonts w:hint="eastAsia"/>
              </w:rPr>
              <w:t>2.技术服务流程：顾客沟通→服务评审→服务实施→</w:t>
            </w:r>
            <w:r>
              <w:rPr>
                <w:rFonts w:hint="eastAsia"/>
                <w:lang w:val="en-US" w:eastAsia="zh-CN"/>
              </w:rPr>
              <w:t>服务完成</w:t>
            </w:r>
            <w:r>
              <w:rPr>
                <w:rFonts w:hint="eastAsia"/>
              </w:rPr>
              <w:t>→后续服务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技术服务过程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技术服务手册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rPr>
              <w:t>电脑、电话、一体机、汽车等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szCs w:val="21"/>
              </w:rPr>
            </w:pPr>
            <w:r>
              <w:rPr>
                <w:rFonts w:hint="eastAsia"/>
                <w:szCs w:val="21"/>
              </w:rPr>
              <w:t>办公区域面</w:t>
            </w:r>
            <w:r>
              <w:rPr>
                <w:rFonts w:hint="eastAsia"/>
                <w:color w:val="auto"/>
                <w:szCs w:val="21"/>
              </w:rPr>
              <w:t>积</w:t>
            </w:r>
            <w:r>
              <w:rPr>
                <w:rFonts w:hint="eastAsia"/>
                <w:color w:val="auto"/>
                <w:szCs w:val="21"/>
                <w:lang w:val="en-US" w:eastAsia="zh-CN"/>
              </w:rPr>
              <w:t>80</w:t>
            </w:r>
            <w:r>
              <w:rPr>
                <w:rFonts w:hint="eastAsia"/>
                <w:color w:val="auto"/>
                <w:szCs w:val="21"/>
              </w:rPr>
              <w:t>平</w:t>
            </w:r>
            <w:r>
              <w:rPr>
                <w:rFonts w:hint="eastAsia"/>
                <w:szCs w:val="21"/>
              </w:rPr>
              <w:t>米；布局合理，场所卫生干净整洁，工作环境良好。</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组织员工人数：15人，其中管理人员：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重点审核部门：管理层、</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生技部</w:t>
            </w:r>
          </w:p>
          <w:p>
            <w:pPr>
              <w:spacing w:line="360" w:lineRule="auto"/>
              <w:rPr>
                <w:rFonts w:hint="default" w:ascii="宋体" w:eastAsia="宋体"/>
                <w:b/>
                <w:bCs/>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销售过程、技术服务过程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办公场所、销售场所、技术服务场所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220.3.10-11</w:t>
            </w:r>
            <w:bookmarkStart w:id="18" w:name="_GoBack"/>
            <w:bookmarkEnd w:id="18"/>
            <w:r>
              <w:rPr>
                <w:rFonts w:hint="eastAsia" w:ascii="宋体" w:hAnsi="宋体"/>
                <w:b/>
                <w:color w:val="000000"/>
                <w:sz w:val="20"/>
                <w:szCs w:val="20"/>
                <w:lang w:val="en-US" w:eastAsia="zh-CN"/>
              </w:rPr>
              <w:t>进行了内审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2020.3.25进行了管评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F0A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r>
        <w:rPr>
          <w:rFonts w:hint="eastAsia" w:ascii="宋体" w:hAnsi="宋体"/>
          <w:b/>
          <w:sz w:val="20"/>
          <w:szCs w:val="20"/>
        </w:rPr>
        <w:t>紧固件（螺栓  螺母 ）的销售</w:t>
      </w:r>
    </w:p>
    <w:p>
      <w:pPr>
        <w:tabs>
          <w:tab w:val="left" w:pos="360"/>
        </w:tabs>
        <w:ind w:left="361" w:leftChars="96" w:hanging="159" w:hangingChars="79"/>
        <w:rPr>
          <w:rFonts w:ascii="宋体"/>
          <w:b/>
          <w:color w:val="000000"/>
          <w:sz w:val="20"/>
          <w:szCs w:val="20"/>
        </w:rPr>
      </w:pPr>
      <w:r>
        <w:rPr>
          <w:rFonts w:hint="eastAsia" w:ascii="宋体" w:hAnsi="宋体"/>
          <w:b/>
          <w:color w:val="000000"/>
          <w:sz w:val="20"/>
          <w:szCs w:val="20"/>
        </w:rPr>
        <w:t>□范围有变化，与组织最终确定二阶段范围是：</w:t>
      </w:r>
      <w:r>
        <w:rPr>
          <w:rFonts w:ascii="宋体"/>
          <w:b/>
          <w:color w:val="000000"/>
          <w:sz w:val="20"/>
          <w:szCs w:val="20"/>
        </w:rPr>
        <w:t xml:space="preserve"> </w:t>
      </w:r>
    </w:p>
    <w:p>
      <w:pPr>
        <w:spacing w:line="300" w:lineRule="auto"/>
        <w:ind w:firstLine="195" w:firstLineChars="97"/>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5.20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BB4"/>
    <w:rsid w:val="00266971"/>
    <w:rsid w:val="004D34DF"/>
    <w:rsid w:val="007E09CB"/>
    <w:rsid w:val="00895328"/>
    <w:rsid w:val="009C3BB4"/>
    <w:rsid w:val="009C6E50"/>
    <w:rsid w:val="00A25EAF"/>
    <w:rsid w:val="00A50224"/>
    <w:rsid w:val="00B6226F"/>
    <w:rsid w:val="00BB7F48"/>
    <w:rsid w:val="00C72535"/>
    <w:rsid w:val="47030F72"/>
    <w:rsid w:val="638C435B"/>
    <w:rsid w:val="78BE0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1062</Words>
  <Characters>6059</Characters>
  <Lines>50</Lines>
  <Paragraphs>14</Paragraphs>
  <TotalTime>1</TotalTime>
  <ScaleCrop>false</ScaleCrop>
  <LinksUpToDate>false</LinksUpToDate>
  <CharactersWithSpaces>7107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2020-05-22T09:07:13Z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