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0191-2020-QEO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北京太合集佳家具有限公司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Q:23.01.01,23.01.04</w:t>
            </w:r>
          </w:p>
          <w:p>
            <w:pPr>
              <w:spacing w:line="240" w:lineRule="exact"/>
              <w:jc w:val="center"/>
              <w:rPr>
                <w:b/>
                <w:color w:val="000000"/>
                <w:sz w:val="20"/>
                <w:szCs w:val="20"/>
              </w:rPr>
            </w:pPr>
            <w:r>
              <w:rPr>
                <w:b/>
                <w:color w:val="000000"/>
                <w:sz w:val="20"/>
                <w:szCs w:val="20"/>
              </w:rPr>
              <w:t>E:23.01.01,23.01.04</w:t>
            </w:r>
          </w:p>
          <w:p>
            <w:pPr>
              <w:spacing w:line="240" w:lineRule="exact"/>
              <w:jc w:val="center"/>
              <w:rPr>
                <w:b/>
                <w:color w:val="000000"/>
                <w:sz w:val="20"/>
                <w:szCs w:val="20"/>
              </w:rPr>
            </w:pPr>
            <w:r>
              <w:rPr>
                <w:b/>
                <w:color w:val="000000"/>
                <w:sz w:val="20"/>
                <w:szCs w:val="20"/>
              </w:rP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rFonts w:hint="eastAsia" w:eastAsia="宋体"/>
                <w:b/>
                <w:color w:val="000000"/>
                <w:sz w:val="20"/>
                <w:szCs w:val="20"/>
                <w:lang w:val="en-US" w:eastAsia="zh-CN"/>
              </w:rPr>
            </w:pPr>
            <w:r>
              <w:rPr>
                <w:b/>
                <w:color w:val="000000"/>
                <w:sz w:val="20"/>
                <w:szCs w:val="20"/>
              </w:rPr>
              <w:t>O:</w:t>
            </w:r>
            <w:r>
              <w:rPr>
                <w:rFonts w:hint="eastAsia"/>
                <w:b/>
                <w:color w:val="000000"/>
                <w:sz w:val="20"/>
                <w:szCs w:val="20"/>
                <w:lang w:eastAsia="zh-CN"/>
              </w:rPr>
              <w:t>专家</w:t>
            </w:r>
          </w:p>
        </w:tc>
        <w:tc>
          <w:tcPr>
            <w:tcW w:w="2179" w:type="dxa"/>
            <w:gridSpan w:val="2"/>
            <w:vAlign w:val="center"/>
          </w:tcPr>
          <w:p>
            <w:pPr>
              <w:spacing w:line="240" w:lineRule="exact"/>
              <w:jc w:val="center"/>
              <w:rPr>
                <w:b/>
                <w:color w:val="000000"/>
                <w:sz w:val="20"/>
                <w:szCs w:val="20"/>
              </w:rPr>
            </w:pPr>
            <w:r>
              <w:rPr>
                <w:b/>
                <w:color w:val="000000"/>
                <w:sz w:val="20"/>
                <w:szCs w:val="20"/>
              </w:rPr>
              <w:t>Q:23.01.04,34.05.00</w:t>
            </w:r>
          </w:p>
          <w:p>
            <w:pPr>
              <w:spacing w:line="240" w:lineRule="exact"/>
              <w:jc w:val="center"/>
              <w:rPr>
                <w:b/>
                <w:color w:val="000000"/>
                <w:sz w:val="20"/>
                <w:szCs w:val="20"/>
              </w:rPr>
            </w:pPr>
            <w:r>
              <w:rPr>
                <w:b/>
                <w:color w:val="000000"/>
                <w:sz w:val="20"/>
                <w:szCs w:val="20"/>
              </w:rPr>
              <w:t>E:34.05.00</w:t>
            </w:r>
          </w:p>
          <w:p>
            <w:pPr>
              <w:spacing w:line="240" w:lineRule="exact"/>
              <w:jc w:val="center"/>
              <w:rPr>
                <w:b/>
                <w:color w:val="000000"/>
                <w:sz w:val="20"/>
                <w:szCs w:val="20"/>
              </w:rPr>
            </w:pPr>
            <w:r>
              <w:rPr>
                <w:rFonts w:hint="eastAsia"/>
                <w:b/>
                <w:color w:val="000000"/>
                <w:sz w:val="20"/>
                <w:szCs w:val="20"/>
                <w:lang w:val="en-US" w:eastAsia="zh-CN"/>
              </w:rPr>
              <w:t>O</w:t>
            </w:r>
            <w:r>
              <w:rPr>
                <w:b/>
                <w:color w:val="000000"/>
                <w:sz w:val="20"/>
                <w:szCs w:val="20"/>
              </w:rPr>
              <w:t>:34.05.00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北京太合集佳家具有限公司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北京市通州区马驹桥镇前堰上村村委会南3500米一号院</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101102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经营地址：北京市通州区马驹桥镇前堰上村村委会南3500米一号院/生产地址：河北省唐山市汉沽管理区临津产业园</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301501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刘跃勇</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13601281489</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刘云飞</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刘跃勇</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r>
              <w:rPr>
                <w:rFonts w:ascii="宋体"/>
                <w:b/>
                <w:color w:val="000000"/>
                <w:sz w:val="20"/>
                <w:szCs w:val="20"/>
              </w:rPr>
              <w:t>ZSHRZ_511@163.com</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ascii="宋体" w:hAnsi="宋体"/>
                <w:b/>
                <w:color w:val="000000" w:themeColor="text1"/>
                <w:sz w:val="20"/>
                <w:szCs w:val="20"/>
              </w:rPr>
              <w:t>2019-12-10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Q：家具（办公家具、医疗家具、养老家具、酒店家具、居室家具、实验室家具）的设计、 委托加工</w:t>
            </w:r>
          </w:p>
          <w:p>
            <w:pPr>
              <w:spacing w:line="400" w:lineRule="exact"/>
              <w:rPr>
                <w:rFonts w:ascii="宋体" w:hAnsi="宋体"/>
                <w:b/>
                <w:color w:val="000000"/>
                <w:sz w:val="20"/>
                <w:szCs w:val="20"/>
              </w:rPr>
            </w:pPr>
            <w:r>
              <w:rPr>
                <w:rFonts w:ascii="宋体" w:hAnsi="宋体"/>
                <w:b/>
                <w:color w:val="000000"/>
                <w:sz w:val="20"/>
                <w:szCs w:val="20"/>
              </w:rPr>
              <w:t>E：家具（办公家具、医疗家具、养老家具、酒店家具、居室家具、实验室家具）的设计、 委托加工所涉及的相关环境管理活动。</w:t>
            </w:r>
          </w:p>
          <w:p>
            <w:pPr>
              <w:spacing w:line="400" w:lineRule="exact"/>
              <w:rPr>
                <w:rFonts w:ascii="宋体" w:hAnsi="宋体"/>
                <w:b/>
                <w:color w:val="000000"/>
                <w:sz w:val="20"/>
                <w:szCs w:val="20"/>
              </w:rPr>
            </w:pPr>
            <w:r>
              <w:rPr>
                <w:rFonts w:ascii="宋体" w:hAnsi="宋体"/>
                <w:b/>
                <w:color w:val="000000"/>
                <w:sz w:val="20"/>
                <w:szCs w:val="20"/>
              </w:rPr>
              <w:t>O：家具（办公家具、医疗家具、养老家具、酒店家具、居室家具、实验室家具）的设计、 委托加工所涉及的相关职业健康安全管理活动。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Q：23.01.01;23.01.04;34.05.00</w:t>
            </w:r>
          </w:p>
          <w:p>
            <w:pPr>
              <w:spacing w:line="280" w:lineRule="exact"/>
              <w:rPr>
                <w:rFonts w:ascii="宋体"/>
                <w:b/>
                <w:color w:val="000000"/>
                <w:sz w:val="20"/>
                <w:szCs w:val="20"/>
              </w:rPr>
            </w:pPr>
            <w:r>
              <w:rPr>
                <w:rFonts w:ascii="宋体"/>
                <w:b/>
                <w:color w:val="000000"/>
                <w:sz w:val="20"/>
                <w:szCs w:val="20"/>
              </w:rPr>
              <w:t>E：23.01.01;23.01.04;34.05.00</w:t>
            </w:r>
          </w:p>
          <w:p>
            <w:pPr>
              <w:spacing w:line="280" w:lineRule="exact"/>
              <w:rPr>
                <w:rFonts w:ascii="宋体"/>
                <w:b/>
                <w:color w:val="000000"/>
                <w:sz w:val="20"/>
                <w:szCs w:val="20"/>
              </w:rPr>
            </w:pPr>
            <w:r>
              <w:rPr>
                <w:rFonts w:ascii="宋体"/>
                <w:b/>
                <w:color w:val="000000"/>
                <w:sz w:val="20"/>
                <w:szCs w:val="20"/>
              </w:rPr>
              <w:t>O：23.01.01;23.01.04;34.05.00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 xml:space="preserve">  手册、程序文件、目标考核、内审、管评等；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部门：高管层、员工代表、办公室、采购部、销售部、设计开发部、财务部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eastAsia="zh-CN"/>
        </w:rPr>
        <w:t>车间</w:t>
      </w:r>
      <w:r>
        <w:rPr>
          <w:rFonts w:hint="eastAsia" w:ascii="宋体" w:hAnsi="宋体"/>
          <w:b/>
          <w:color w:val="000000"/>
          <w:sz w:val="20"/>
          <w:szCs w:val="20"/>
          <w:lang w:val="en-US" w:eastAsia="zh-CN"/>
        </w:rPr>
        <w:t xml:space="preserve">  办公室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hAns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val="en-US" w:eastAsia="zh-CN"/>
              </w:rPr>
              <w:t xml:space="preserve">   </w:t>
            </w:r>
            <w:r>
              <w:rPr>
                <w:rFonts w:hint="eastAsia" w:ascii="宋体" w:hAnsi="宋体"/>
                <w:b/>
                <w:color w:val="000000"/>
                <w:sz w:val="20"/>
                <w:szCs w:val="20"/>
              </w:rPr>
              <w:t>服务：</w:t>
            </w:r>
          </w:p>
          <w:p>
            <w:pPr>
              <w:spacing w:line="320" w:lineRule="exact"/>
              <w:jc w:val="left"/>
              <w:rPr>
                <w:rFonts w:ascii="宋体" w:hAnsi="宋体"/>
                <w:b/>
                <w:color w:val="000000" w:themeColor="text1"/>
                <w:sz w:val="20"/>
                <w:szCs w:val="20"/>
                <w:u w:val="single"/>
              </w:rPr>
            </w:pPr>
            <w:r>
              <w:rPr>
                <w:rFonts w:ascii="宋体" w:hAnsi="宋体"/>
                <w:b/>
                <w:color w:val="000000" w:themeColor="text1"/>
                <w:sz w:val="20"/>
                <w:szCs w:val="20"/>
              </w:rPr>
              <w:t>Q：家具（办公家具、医疗家具、养老家具、酒店家具、居室家具、实验室家具）的设计、 委托加工</w:t>
            </w:r>
          </w:p>
          <w:p>
            <w:pPr>
              <w:spacing w:line="320" w:lineRule="exact"/>
              <w:jc w:val="left"/>
              <w:rPr>
                <w:rFonts w:ascii="宋体" w:hAnsi="宋体"/>
                <w:b/>
                <w:color w:val="000000" w:themeColor="text1"/>
                <w:sz w:val="20"/>
                <w:szCs w:val="20"/>
              </w:rPr>
            </w:pPr>
            <w:r>
              <w:rPr>
                <w:rFonts w:ascii="宋体" w:hAnsi="宋体"/>
                <w:b/>
                <w:color w:val="000000" w:themeColor="text1"/>
                <w:sz w:val="20"/>
                <w:szCs w:val="20"/>
              </w:rPr>
              <w:t>E：家具（办公家具、医疗家具、养老家具、酒店家具、居室家具、实验室家具）的设计、 委托加工所涉及的相关环境管理活动。</w:t>
            </w:r>
          </w:p>
          <w:p>
            <w:pPr>
              <w:tabs>
                <w:tab w:val="left" w:pos="360"/>
              </w:tabs>
              <w:ind w:left="360" w:hanging="360"/>
              <w:jc w:val="left"/>
              <w:rPr>
                <w:rFonts w:hint="eastAsia" w:ascii="宋体" w:hAnsi="宋体"/>
                <w:b/>
                <w:color w:val="000000"/>
                <w:sz w:val="20"/>
                <w:szCs w:val="20"/>
              </w:rPr>
            </w:pPr>
            <w:r>
              <w:rPr>
                <w:rFonts w:ascii="宋体" w:hAnsi="宋体"/>
                <w:b/>
                <w:color w:val="000000" w:themeColor="text1"/>
                <w:sz w:val="20"/>
                <w:szCs w:val="20"/>
              </w:rPr>
              <w:t>O：家具（办公家具、医疗家具、养老家具、酒店家具、居室家具、实验室家具）的设计、 委托加工所涉及的相关职业健康安全管理活动。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公司部门设置：办公室、采购部、销售部、设计开发部、财务部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rPr>
              <w:t>采购部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rPr>
              <w:t>采购部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rPr>
              <w:t>采购部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adjustRightInd w:val="0"/>
              <w:snapToGrid w:val="0"/>
              <w:spacing w:line="276" w:lineRule="auto"/>
              <w:rPr>
                <w:rFonts w:ascii="宋体"/>
                <w:color w:val="000000"/>
                <w:sz w:val="20"/>
                <w:szCs w:val="20"/>
              </w:rPr>
            </w:pPr>
            <w:r>
              <w:rPr>
                <w:rFonts w:hint="eastAsia" w:ascii="宋体" w:hAnsi="宋体"/>
                <w:szCs w:val="21"/>
              </w:rPr>
              <w:t xml:space="preserve">客户需求--立项---方案设计--产品设计出图- </w:t>
            </w:r>
            <w:r>
              <w:rPr>
                <w:rFonts w:hint="eastAsia" w:ascii="宋体" w:hAnsi="宋体"/>
                <w:szCs w:val="21"/>
                <w:lang w:val="en-US" w:eastAsia="zh-CN"/>
              </w:rPr>
              <w:t>样品委托加工</w:t>
            </w:r>
            <w:r>
              <w:rPr>
                <w:rFonts w:hint="eastAsia" w:ascii="宋体" w:hAnsi="宋体"/>
                <w:szCs w:val="21"/>
              </w:rPr>
              <w:t>--</w:t>
            </w:r>
            <w:r>
              <w:rPr>
                <w:rFonts w:hint="eastAsia" w:ascii="宋体" w:hAnsi="宋体"/>
                <w:szCs w:val="21"/>
                <w:lang w:val="en-US" w:eastAsia="zh-CN"/>
              </w:rPr>
              <w:t>送三方检验--</w:t>
            </w:r>
            <w:r>
              <w:rPr>
                <w:rFonts w:hint="eastAsia" w:ascii="宋体" w:hAnsi="宋体"/>
                <w:szCs w:val="21"/>
              </w:rPr>
              <w:t>改进--客户确认--客户验收</w:t>
            </w:r>
            <w:r>
              <w:rPr>
                <w:rFonts w:hint="eastAsia" w:ascii="宋体" w:hAnsi="宋体"/>
                <w:szCs w:val="21"/>
                <w:lang w:val="en-US" w:eastAsia="zh-CN"/>
              </w:rPr>
              <w:t>--委托加工（批量生产）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szCs w:val="21"/>
                <w:lang w:eastAsia="zh-CN"/>
              </w:rPr>
              <w:t>设计、委托加工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设计文件</w:t>
            </w:r>
            <w:r>
              <w:rPr>
                <w:rFonts w:hint="eastAsia" w:ascii="宋体" w:hAnsi="宋体"/>
                <w:color w:val="000000"/>
                <w:sz w:val="20"/>
                <w:szCs w:val="20"/>
                <w:lang w:val="en-US" w:eastAsia="zh-CN"/>
              </w:rPr>
              <w:t xml:space="preserve">   委托合同 技术要求等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eastAsia="zh-CN"/>
              </w:rPr>
              <w:t>委托加工的</w:t>
            </w:r>
            <w:r>
              <w:rPr>
                <w:rFonts w:hint="eastAsia"/>
                <w:sz w:val="21"/>
                <w:szCs w:val="21"/>
                <w:lang w:eastAsia="zh-CN"/>
              </w:rPr>
              <w:t>焊接、喷涂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家具委托加工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lang w:val="en-US" w:eastAsia="zh-CN"/>
              </w:rPr>
              <w:t>数控钻孔中心、喷涂线、焊机、木工楼铣床、</w:t>
            </w:r>
            <w:r>
              <w:rPr>
                <w:rFonts w:hint="eastAsia" w:ascii="宋体" w:hAnsi="宋体" w:eastAsia="宋体" w:cs="宋体"/>
                <w:color w:val="000000"/>
                <w:kern w:val="0"/>
                <w:sz w:val="20"/>
                <w:szCs w:val="20"/>
                <w:lang w:val="en-US" w:eastAsia="zh-CN" w:bidi="ar"/>
              </w:rPr>
              <w:t>单板剪切机</w:t>
            </w:r>
            <w:r>
              <w:rPr>
                <w:rFonts w:hint="eastAsia"/>
                <w:lang w:val="en-US" w:eastAsia="zh-CN"/>
              </w:rPr>
              <w:t>等，每月进行</w:t>
            </w:r>
            <w:r>
              <w:rPr>
                <w:rFonts w:hint="eastAsia"/>
              </w:rPr>
              <w:t>生产设备保养、检修</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A3"/>
            </w:r>
            <w:r>
              <w:rPr>
                <w:rFonts w:hint="eastAsia" w:ascii="宋体" w:hAnsi="宋体"/>
                <w:color w:val="000000"/>
                <w:sz w:val="20"/>
                <w:szCs w:val="20"/>
              </w:rPr>
              <w:t>是□否</w:t>
            </w:r>
            <w:r>
              <w:rPr>
                <w:rFonts w:hint="eastAsia" w:ascii="宋体" w:hAnsi="宋体"/>
                <w:color w:val="000000"/>
                <w:sz w:val="20"/>
                <w:szCs w:val="20"/>
                <w:lang w:val="en-US" w:eastAsia="zh-CN"/>
              </w:rPr>
              <w:t xml:space="preserve">     说明：已经按要求送检，正在进行中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color w:val="auto"/>
                <w:lang w:val="en-US" w:eastAsia="zh-CN"/>
              </w:rPr>
              <w:t>游标卡尺、钢卷尺等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sz w:val="21"/>
                <w:szCs w:val="21"/>
              </w:rPr>
            </w:pPr>
            <w:r>
              <w:rPr>
                <w:rFonts w:hint="eastAsia" w:ascii="宋体"/>
                <w:color w:val="000000"/>
                <w:sz w:val="20"/>
                <w:szCs w:val="20"/>
              </w:rPr>
              <w:t>重要环境因素有：</w:t>
            </w:r>
            <w:r>
              <w:rPr>
                <w:rFonts w:hint="eastAsia"/>
                <w:sz w:val="21"/>
                <w:szCs w:val="21"/>
              </w:rPr>
              <w:t>提供《环境因素辨识评价一览表》，包括固废废弃、包装箱的废弃、意外火灾、原材料损耗、资源的消耗等。</w:t>
            </w:r>
          </w:p>
          <w:p>
            <w:pPr>
              <w:rPr>
                <w:rFonts w:ascii="宋体"/>
                <w:color w:val="000000"/>
                <w:sz w:val="20"/>
                <w:szCs w:val="20"/>
              </w:rPr>
            </w:pPr>
            <w:r>
              <w:rPr>
                <w:rFonts w:hint="eastAsia"/>
                <w:sz w:val="21"/>
                <w:szCs w:val="21"/>
              </w:rPr>
              <w:t>提供《重要环境因素清单》，有：火灾发生、固废排放</w:t>
            </w:r>
            <w:r>
              <w:rPr>
                <w:rFonts w:hint="eastAsia"/>
                <w:sz w:val="21"/>
                <w:szCs w:val="21"/>
                <w:lang w:eastAsia="zh-CN"/>
              </w:rPr>
              <w:t>等</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w:t>
            </w:r>
            <w:r>
              <w:rPr>
                <w:rFonts w:hint="eastAsia" w:ascii="宋体"/>
                <w:color w:val="000000"/>
                <w:sz w:val="20"/>
                <w:szCs w:val="20"/>
                <w:lang w:eastAsia="zh-CN"/>
              </w:rPr>
              <w:t>火灾预案、疫情防疫预案等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rPr>
            </w:pPr>
            <w:r>
              <w:rPr>
                <w:rFonts w:hint="eastAsia" w:ascii="宋体"/>
                <w:color w:val="000000"/>
                <w:sz w:val="20"/>
                <w:szCs w:val="20"/>
              </w:rPr>
              <w:t>不可接受风险有：</w:t>
            </w:r>
            <w:r>
              <w:rPr>
                <w:rFonts w:hint="eastAsia"/>
                <w:sz w:val="21"/>
                <w:szCs w:val="21"/>
              </w:rPr>
              <w:t>提供《</w:t>
            </w:r>
            <w:r>
              <w:rPr>
                <w:rFonts w:hint="eastAsia"/>
                <w:sz w:val="21"/>
                <w:szCs w:val="21"/>
                <w:lang w:eastAsia="zh-CN"/>
              </w:rPr>
              <w:t>危险源</w:t>
            </w:r>
            <w:r>
              <w:rPr>
                <w:rFonts w:hint="eastAsia"/>
                <w:sz w:val="21"/>
                <w:szCs w:val="21"/>
              </w:rPr>
              <w:t>辨识评价一览表》，</w:t>
            </w:r>
            <w:r>
              <w:rPr>
                <w:rFonts w:hint="eastAsia"/>
              </w:rPr>
              <w:t>涉及本部门的危险源包括：使用电器不当造成触电，搬运货物造成的砸伤，吸烟乱扔烟头导致火灾，上下班途中交通危险，电器短路或使用时间过长散热不良，相关方进厂驾驶员违章驾驶</w:t>
            </w:r>
            <w:r>
              <w:rPr>
                <w:rFonts w:hint="eastAsia"/>
                <w:lang w:eastAsia="zh-CN"/>
              </w:rPr>
              <w:t>等</w:t>
            </w:r>
            <w:r>
              <w:rPr>
                <w:rFonts w:hint="eastAsia"/>
              </w:rPr>
              <w:t>。</w:t>
            </w:r>
          </w:p>
          <w:p>
            <w:pPr>
              <w:pStyle w:val="2"/>
              <w:rPr>
                <w:rFonts w:hint="eastAsia"/>
                <w:sz w:val="21"/>
                <w:szCs w:val="21"/>
              </w:rPr>
            </w:pPr>
            <w:r>
              <w:rPr>
                <w:rFonts w:hint="eastAsia"/>
              </w:rPr>
              <w:t>用LEC法对识别的危险源进行评价，不可接受风险火灾、触电</w:t>
            </w:r>
            <w:r>
              <w:rPr>
                <w:rFonts w:hint="eastAsia"/>
                <w:lang w:eastAsia="zh-CN"/>
              </w:rPr>
              <w:t>等</w:t>
            </w:r>
            <w:r>
              <w:rPr>
                <w:rFonts w:hint="eastAsia"/>
              </w:rPr>
              <w:t>，评价基本准确。</w:t>
            </w:r>
            <w:r>
              <w:rPr>
                <w:rFonts w:hint="eastAsia"/>
                <w:sz w:val="21"/>
                <w:szCs w:val="21"/>
              </w:rPr>
              <w:t>。</w:t>
            </w:r>
          </w:p>
          <w:p>
            <w:pPr>
              <w:rPr>
                <w:rFonts w:ascii="宋体"/>
                <w:color w:val="000000"/>
                <w:sz w:val="20"/>
                <w:szCs w:val="20"/>
              </w:rPr>
            </w:pPr>
            <w:r>
              <w:rPr>
                <w:rFonts w:hint="eastAsia"/>
                <w:sz w:val="21"/>
                <w:szCs w:val="21"/>
                <w:lang w:val="en-US" w:eastAsia="zh-CN"/>
              </w:rPr>
              <w:t>对委托加工方危险源识别，识别重要危险源为：</w:t>
            </w:r>
            <w:r>
              <w:rPr>
                <w:rFonts w:hint="eastAsia"/>
              </w:rPr>
              <w:t>火灾、触电</w:t>
            </w:r>
            <w:r>
              <w:rPr>
                <w:rFonts w:hint="eastAsia"/>
                <w:lang w:eastAsia="zh-CN"/>
              </w:rPr>
              <w:t>等</w:t>
            </w:r>
            <w:r>
              <w:rPr>
                <w:rFonts w:hint="eastAsia"/>
                <w:sz w:val="21"/>
                <w:szCs w:val="21"/>
                <w:lang w:val="en-US" w:eastAsia="zh-CN"/>
              </w:rPr>
              <w:t>，</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eastAsia="zh-CN"/>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采购部</w:t>
            </w:r>
            <w:r>
              <w:rPr>
                <w:rFonts w:hint="eastAsia" w:ascii="宋体" w:hAnsi="宋体"/>
                <w:b/>
                <w:color w:val="000000"/>
                <w:sz w:val="20"/>
                <w:szCs w:val="20"/>
                <w:lang w:val="en-US" w:eastAsia="zh-CN"/>
              </w:rPr>
              <w:t xml:space="preserve">   办公室  设计开发部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eastAsia="zh-CN"/>
              </w:rPr>
              <w:t>设计、委托加工</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w:t>
            </w:r>
            <w:r>
              <w:rPr>
                <w:rFonts w:hint="eastAsia" w:ascii="宋体" w:hAnsi="宋体"/>
                <w:b/>
                <w:color w:val="000000"/>
                <w:sz w:val="20"/>
                <w:szCs w:val="20"/>
                <w:lang w:val="en-US" w:eastAsia="zh-CN"/>
              </w:rPr>
              <w:t xml:space="preserve">  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采购部</w:t>
            </w:r>
            <w:r>
              <w:rPr>
                <w:rFonts w:hint="eastAsia" w:ascii="宋体" w:hAnsi="宋体"/>
                <w:b/>
                <w:color w:val="000000"/>
                <w:sz w:val="20"/>
                <w:szCs w:val="20"/>
                <w:lang w:val="en-US" w:eastAsia="zh-CN"/>
              </w:rPr>
              <w:t xml:space="preserve">   办公室</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车间</w:t>
            </w:r>
            <w:r>
              <w:rPr>
                <w:rFonts w:hint="eastAsia" w:ascii="宋体" w:hAnsi="宋体"/>
                <w:b/>
                <w:color w:val="000000"/>
                <w:sz w:val="20"/>
                <w:szCs w:val="20"/>
                <w:lang w:val="en-US" w:eastAsia="zh-CN"/>
              </w:rPr>
              <w:t xml:space="preserve">  办公室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采购部</w:t>
            </w:r>
            <w:r>
              <w:rPr>
                <w:rFonts w:hint="eastAsia" w:ascii="宋体" w:hAnsi="宋体"/>
                <w:b/>
                <w:color w:val="000000"/>
                <w:sz w:val="20"/>
                <w:szCs w:val="20"/>
                <w:lang w:val="en-US" w:eastAsia="zh-CN"/>
              </w:rPr>
              <w:t xml:space="preserve">   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w:t>
            </w:r>
            <w:r>
              <w:rPr>
                <w:rFonts w:hint="eastAsia" w:ascii="宋体" w:hAnsi="宋体"/>
                <w:b/>
                <w:color w:val="000000"/>
                <w:sz w:val="20"/>
                <w:szCs w:val="20"/>
                <w:lang w:val="en-US" w:eastAsia="zh-CN"/>
              </w:rPr>
              <w:t xml:space="preserve">  办公室</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eastAsia="zh-CN"/>
              </w:rPr>
              <w:t>已经了解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了解内审结论是什么？</w:t>
            </w:r>
            <w:r>
              <w:rPr>
                <w:rFonts w:hint="eastAsia" w:ascii="宋体" w:hAnsi="宋体"/>
                <w:b/>
                <w:color w:val="000000"/>
                <w:sz w:val="20"/>
                <w:szCs w:val="20"/>
                <w:lang w:eastAsia="zh-CN"/>
              </w:rPr>
              <w:t>满足体系运行要求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eastAsia="zh-CN"/>
              </w:rPr>
              <w:t>已经了解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eastAsia="zh-CN"/>
              </w:rPr>
              <w:t>满足体系运行要求，提出改进，正在实施中。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672576" behindDoc="0" locked="0" layoutInCell="1" allowOverlap="1">
            <wp:simplePos x="0" y="0"/>
            <wp:positionH relativeFrom="column">
              <wp:posOffset>1844040</wp:posOffset>
            </wp:positionH>
            <wp:positionV relativeFrom="paragraph">
              <wp:posOffset>26035</wp:posOffset>
            </wp:positionV>
            <wp:extent cx="626745" cy="274320"/>
            <wp:effectExtent l="0" t="0" r="1905" b="1143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673600" behindDoc="0" locked="0" layoutInCell="1" allowOverlap="1">
            <wp:simplePos x="0" y="0"/>
            <wp:positionH relativeFrom="column">
              <wp:posOffset>1889125</wp:posOffset>
            </wp:positionH>
            <wp:positionV relativeFrom="paragraph">
              <wp:posOffset>189865</wp:posOffset>
            </wp:positionV>
            <wp:extent cx="668020" cy="359410"/>
            <wp:effectExtent l="0" t="0" r="17780" b="254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668020" cy="35941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2020年5月17</w:t>
      </w:r>
      <w:bookmarkStart w:id="22" w:name="_GoBack"/>
      <w:bookmarkEnd w:id="22"/>
      <w:r>
        <w:rPr>
          <w:rFonts w:hint="eastAsia" w:ascii="宋体" w:hAnsi="宋体"/>
          <w:b/>
          <w:color w:val="000000"/>
          <w:lang w:val="en-US" w:eastAsia="zh-CN"/>
        </w:rPr>
        <w:t>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eastAsia" w:eastAsia="隶书"/>
          <w:color w:val="000000"/>
          <w:sz w:val="32"/>
          <w:szCs w:val="32"/>
          <w:lang w:eastAsia="zh-CN"/>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w:t>
      </w:r>
      <w:r>
        <w:rPr>
          <w:rFonts w:hint="eastAsia" w:eastAsia="隶书"/>
          <w:color w:val="000000"/>
          <w:sz w:val="32"/>
          <w:szCs w:val="32"/>
          <w:lang w:eastAsia="zh-CN"/>
        </w:rPr>
        <w:t>：无</w:t>
      </w: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9A7C1A"/>
    <w:rsid w:val="1B030D16"/>
    <w:rsid w:val="1D85010B"/>
    <w:rsid w:val="1EEF50A5"/>
    <w:rsid w:val="1F852EC4"/>
    <w:rsid w:val="24792B7E"/>
    <w:rsid w:val="247C3CC2"/>
    <w:rsid w:val="258401E9"/>
    <w:rsid w:val="27276BF1"/>
    <w:rsid w:val="280B6AC4"/>
    <w:rsid w:val="283F7E1B"/>
    <w:rsid w:val="28855CF1"/>
    <w:rsid w:val="299F2014"/>
    <w:rsid w:val="2A0F6C1B"/>
    <w:rsid w:val="2A563AD7"/>
    <w:rsid w:val="2A817AF1"/>
    <w:rsid w:val="2B6C62EF"/>
    <w:rsid w:val="30D251E6"/>
    <w:rsid w:val="350C512A"/>
    <w:rsid w:val="3CF07E97"/>
    <w:rsid w:val="42D61F00"/>
    <w:rsid w:val="42D766F1"/>
    <w:rsid w:val="477B1D63"/>
    <w:rsid w:val="4A5B764D"/>
    <w:rsid w:val="4E535885"/>
    <w:rsid w:val="50313FD5"/>
    <w:rsid w:val="590F6747"/>
    <w:rsid w:val="599D41A3"/>
    <w:rsid w:val="5A55490D"/>
    <w:rsid w:val="5D6A1FB8"/>
    <w:rsid w:val="5DE50746"/>
    <w:rsid w:val="625B33B6"/>
    <w:rsid w:val="64BB6751"/>
    <w:rsid w:val="668D3517"/>
    <w:rsid w:val="68BF146F"/>
    <w:rsid w:val="68E7114A"/>
    <w:rsid w:val="69DC2840"/>
    <w:rsid w:val="71EB56D2"/>
    <w:rsid w:val="7DDC00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2020-06-21T00:49:51Z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