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重庆市匀升贸易有限公司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陈太全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</w:rPr>
              <w:t>部审核环境安全运行检查记录时，管理规定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</w:rPr>
              <w:t>部应在每月初对公司水电管理、资源管理、消防安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全管理、相关方管理等内容进行检查，未能提供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2020年4</w:t>
            </w:r>
            <w:r>
              <w:rPr>
                <w:rFonts w:hint="eastAsia" w:ascii="方正仿宋简体" w:eastAsia="方正仿宋简体"/>
                <w:b/>
              </w:rPr>
              <w:t>月份的检查记录。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125730</wp:posOffset>
                  </wp:positionV>
                  <wp:extent cx="612775" cy="383540"/>
                  <wp:effectExtent l="0" t="0" r="12065" b="1270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8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172085</wp:posOffset>
                  </wp:positionV>
                  <wp:extent cx="568960" cy="356235"/>
                  <wp:effectExtent l="0" t="0" r="10160" b="952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B37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2020-05-11T06:30:53Z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