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6"/>
        <w:gridCol w:w="243"/>
        <w:gridCol w:w="891"/>
        <w:gridCol w:w="709"/>
        <w:gridCol w:w="148"/>
        <w:gridCol w:w="908"/>
        <w:gridCol w:w="206"/>
        <w:gridCol w:w="1384"/>
        <w:gridCol w:w="6"/>
        <w:gridCol w:w="787"/>
        <w:gridCol w:w="909"/>
        <w:gridCol w:w="113"/>
        <w:gridCol w:w="75"/>
        <w:gridCol w:w="223"/>
        <w:gridCol w:w="467"/>
        <w:gridCol w:w="261"/>
        <w:gridCol w:w="47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重庆市匀升贸易有限公司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重庆市荣昌区昌州街道昌州大道东段18号1幢2-1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陈太全</w:t>
            </w:r>
            <w:bookmarkEnd w:id="2"/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13983824208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402460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56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0176-2020-Q</w:t>
            </w:r>
            <w:bookmarkEnd w:id="8"/>
          </w:p>
        </w:tc>
        <w:tc>
          <w:tcPr>
            <w:tcW w:w="15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资质范围内煤焦油、重油、燃料油(不含危险化学品)、轻质化煤焦油、减水剂、砂石料、煤炭</w:t>
            </w:r>
            <w:r>
              <w:rPr>
                <w:rFonts w:hint="eastAsia"/>
                <w:sz w:val="20"/>
                <w:lang w:eastAsia="zh-CN"/>
              </w:rPr>
              <w:t>（含煤粉</w:t>
            </w:r>
            <w:bookmarkStart w:id="17" w:name="_GoBack"/>
            <w:bookmarkEnd w:id="17"/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sz w:val="20"/>
              </w:rPr>
              <w:t>、建筑材料的销售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29.05.02;29.12.00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2020年05月12日 上午至2020年05月12日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29.05.02,29.12.00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1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1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1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7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05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1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7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77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5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77" w:type="dxa"/>
            <w:gridSpan w:val="4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2020年05月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8.3设计开发控制；8.6产品和服务放行 8.7不合格输出的控制；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（张心、杨珍全）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23319"/>
    <w:rsid w:val="15455B8F"/>
    <w:rsid w:val="16F64408"/>
    <w:rsid w:val="272A56CE"/>
    <w:rsid w:val="47FE6E6B"/>
    <w:rsid w:val="733A4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2020-05-11T06:42:56Z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