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江西广泉专用汽车制造有限公司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谢建辉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Q:22.01.00</w:t>
            </w:r>
          </w:p>
          <w:p>
            <w:pPr>
              <w:spacing w:line="240" w:lineRule="exact"/>
              <w:jc w:val="center"/>
              <w:rPr>
                <w:b/>
                <w:color w:val="000000" w:themeColor="text1"/>
                <w:sz w:val="20"/>
                <w:szCs w:val="20"/>
              </w:rPr>
            </w:pPr>
            <w:r>
              <w:rPr>
                <w:b/>
                <w:color w:val="000000" w:themeColor="text1"/>
                <w:sz w:val="20"/>
                <w:szCs w:val="20"/>
              </w:rPr>
              <w:t>E:22.01.00</w:t>
            </w:r>
          </w:p>
          <w:p>
            <w:pPr>
              <w:spacing w:line="240" w:lineRule="exact"/>
              <w:jc w:val="center"/>
              <w:rPr>
                <w:b/>
                <w:color w:val="000000" w:themeColor="text1"/>
                <w:sz w:val="20"/>
                <w:szCs w:val="20"/>
              </w:rPr>
            </w:pPr>
            <w:r>
              <w:rPr>
                <w:b/>
                <w:color w:val="000000" w:themeColor="text1"/>
                <w:sz w:val="20"/>
                <w:szCs w:val="20"/>
              </w:rPr>
              <w:t>O:22.01.00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江西广泉专用汽车制造有限公司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江西省宜春市樟树市城北工业园</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江西省宜春市樟树市城北工业园</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姜建平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0795-7813999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彭苏敏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彭苏敏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余淮清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Q：殡仪车专用汽车改装制造</w:t>
            </w:r>
          </w:p>
          <w:p>
            <w:pPr>
              <w:spacing w:line="320" w:lineRule="exact"/>
              <w:rPr>
                <w:rFonts w:ascii="宋体" w:hAnsi="宋体"/>
                <w:b/>
                <w:color w:val="000000" w:themeColor="text1"/>
                <w:sz w:val="20"/>
                <w:szCs w:val="20"/>
              </w:rPr>
            </w:pPr>
            <w:r>
              <w:rPr>
                <w:rFonts w:ascii="宋体" w:hAnsi="宋体"/>
                <w:b/>
                <w:color w:val="000000" w:themeColor="text1"/>
                <w:sz w:val="20"/>
                <w:szCs w:val="20"/>
              </w:rPr>
              <w:t>E：殡仪车专用汽车改装制造所涉及的环境管理活动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O：殡仪车专用汽车改装制造所涉及的相关职业健康安全管理活动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Q：22.01.00</w:t>
            </w:r>
          </w:p>
          <w:p>
            <w:pPr>
              <w:spacing w:line="320" w:lineRule="exact"/>
              <w:rPr>
                <w:rFonts w:ascii="宋体" w:hAnsi="宋体"/>
                <w:b/>
                <w:color w:val="000000" w:themeColor="text1"/>
                <w:sz w:val="20"/>
                <w:szCs w:val="20"/>
              </w:rPr>
            </w:pPr>
            <w:r>
              <w:rPr>
                <w:rFonts w:ascii="宋体" w:hAnsi="宋体"/>
                <w:b/>
                <w:color w:val="000000" w:themeColor="text1"/>
                <w:sz w:val="20"/>
                <w:szCs w:val="20"/>
              </w:rPr>
              <w:t>E：22.01.00</w:t>
            </w:r>
          </w:p>
          <w:p>
            <w:pPr>
              <w:spacing w:line="320" w:lineRule="exact"/>
              <w:rPr>
                <w:rFonts w:ascii="宋体" w:hAnsi="宋体"/>
                <w:b/>
                <w:color w:val="000000" w:themeColor="text1"/>
                <w:sz w:val="20"/>
                <w:szCs w:val="20"/>
              </w:rPr>
            </w:pPr>
            <w:r>
              <w:rPr>
                <w:rFonts w:ascii="宋体" w:hAnsi="宋体"/>
                <w:b/>
                <w:color w:val="000000" w:themeColor="text1"/>
                <w:sz w:val="20"/>
                <w:szCs w:val="20"/>
              </w:rPr>
              <w:t>O：22.01.00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体系运行、人力资源、内审、管理评审、监视与绩效考核及其相关的环境、安全管理活动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供应</w:t>
            </w:r>
            <w:r>
              <w:rPr>
                <w:rFonts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物质采购及其相关的环境、安全管理活动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产品生产过程及其</w:t>
            </w:r>
            <w:r>
              <w:rPr>
                <w:rFonts w:hint="eastAsia" w:ascii="宋体" w:hAnsi="宋体"/>
                <w:b/>
                <w:color w:val="000000" w:themeColor="text1"/>
                <w:spacing w:val="-20"/>
                <w:sz w:val="20"/>
                <w:szCs w:val="20"/>
                <w:u w:val="single"/>
              </w:rPr>
              <w:t>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Cs w:val="21"/>
                <w:lang w:val="en-US" w:eastAsia="zh-CN"/>
              </w:rPr>
              <w:t>技术</w:t>
            </w:r>
            <w:r>
              <w:rPr>
                <w:rFonts w:ascii="宋体" w:hAnsi="宋体"/>
                <w:b/>
                <w:color w:val="000000" w:themeColor="text1"/>
                <w:szCs w:val="21"/>
              </w:rPr>
              <w:t>部</w:t>
            </w:r>
          </w:p>
        </w:tc>
        <w:tc>
          <w:tcPr>
            <w:tcW w:w="6804" w:type="dxa"/>
          </w:tcPr>
          <w:p>
            <w:pPr>
              <w:jc w:val="left"/>
              <w:rPr>
                <w:rFonts w:ascii="宋体" w:hAnsi="宋体"/>
                <w:b/>
                <w:color w:val="000000" w:themeColor="text1"/>
                <w:spacing w:val="-20"/>
                <w:szCs w:val="21"/>
                <w:u w:val="single"/>
              </w:rPr>
            </w:pPr>
            <w:r>
              <w:rPr>
                <w:rFonts w:ascii="宋体" w:hAnsi="宋体"/>
                <w:b/>
                <w:color w:val="000000" w:themeColor="text1"/>
                <w:spacing w:val="-20"/>
                <w:szCs w:val="21"/>
                <w:u w:val="single"/>
              </w:rPr>
              <w:t>产品检验、过程控制</w:t>
            </w:r>
            <w:r>
              <w:rPr>
                <w:rFonts w:ascii="宋体" w:hAnsi="宋体"/>
                <w:b/>
                <w:color w:val="000000" w:themeColor="text1"/>
                <w:spacing w:val="-20"/>
                <w:sz w:val="20"/>
                <w:szCs w:val="20"/>
                <w:u w:val="single"/>
              </w:rPr>
              <w:t>及其</w:t>
            </w:r>
            <w:r>
              <w:rPr>
                <w:rFonts w:hint="eastAsia" w:ascii="宋体" w:hAnsi="宋体"/>
                <w:b/>
                <w:color w:val="000000" w:themeColor="text1"/>
                <w:spacing w:val="-20"/>
                <w:sz w:val="20"/>
                <w:szCs w:val="20"/>
                <w:u w:val="single"/>
              </w:rPr>
              <w:t>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jc w:val="left"/>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体系运行资金的支持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color w:val="000000" w:themeColor="text1"/>
                <w:sz w:val="20"/>
                <w:szCs w:val="20"/>
              </w:rPr>
            </w:pPr>
            <w:r>
              <w:rPr>
                <w:sz w:val="20"/>
              </w:rPr>
              <w:t>殡仪车专用汽车改装制造</w:t>
            </w:r>
          </w:p>
        </w:tc>
        <w:tc>
          <w:tcPr>
            <w:tcW w:w="2519" w:type="dxa"/>
          </w:tcPr>
          <w:p>
            <w:pPr>
              <w:rPr>
                <w:color w:val="000000" w:themeColor="text1"/>
                <w:sz w:val="20"/>
                <w:szCs w:val="20"/>
              </w:rPr>
            </w:pPr>
          </w:p>
        </w:tc>
        <w:tc>
          <w:tcPr>
            <w:tcW w:w="1843" w:type="dxa"/>
          </w:tcPr>
          <w:p>
            <w:pPr>
              <w:rPr>
                <w:color w:val="000000" w:themeColor="text1"/>
                <w:sz w:val="20"/>
                <w:szCs w:val="20"/>
              </w:rPr>
            </w:pPr>
          </w:p>
        </w:tc>
        <w:tc>
          <w:tcPr>
            <w:tcW w:w="3543" w:type="dxa"/>
          </w:tcPr>
          <w:p>
            <w:pPr>
              <w:snapToGrid w:val="0"/>
              <w:spacing w:line="280" w:lineRule="exact"/>
              <w:jc w:val="left"/>
              <w:rPr>
                <w:rFonts w:hint="default" w:ascii="Times New Roman" w:cs="Times New Roman"/>
                <w:b/>
                <w:color w:val="auto"/>
                <w:kern w:val="2"/>
                <w:sz w:val="20"/>
                <w:szCs w:val="22"/>
                <w:lang w:val="en-US" w:eastAsia="zh-CN" w:bidi="ar-SA"/>
              </w:rPr>
            </w:pPr>
            <w:r>
              <w:rPr>
                <w:rFonts w:hint="eastAsia" w:ascii="Times New Roman" w:hAnsi="Times New Roman" w:cs="Times New Roman"/>
                <w:b/>
                <w:sz w:val="20"/>
                <w:szCs w:val="22"/>
                <w:lang w:val="en-US" w:eastAsia="zh-CN"/>
              </w:rPr>
              <w:t>GB1589-2016  汽车、挂车及汽车列车外廓尺寸、轴荷及质量限值、</w:t>
            </w:r>
            <w:r>
              <w:rPr>
                <w:rFonts w:hint="default" w:ascii="Times New Roman" w:hAnsi="Times New Roman" w:eastAsia="宋体" w:cs="Times New Roman"/>
                <w:b/>
                <w:color w:val="auto"/>
                <w:kern w:val="2"/>
                <w:sz w:val="20"/>
                <w:szCs w:val="22"/>
                <w:lang w:val="en-US" w:eastAsia="zh-CN" w:bidi="ar-SA"/>
              </w:rPr>
              <w:t xml:space="preserve">GB/T14172-2009 </w:t>
            </w:r>
            <w:r>
              <w:rPr>
                <w:rFonts w:hint="eastAsia" w:ascii="Times New Roman" w:hAnsi="Times New Roman" w:eastAsia="宋体" w:cs="Times New Roman"/>
                <w:b/>
                <w:color w:val="auto"/>
                <w:kern w:val="2"/>
                <w:sz w:val="20"/>
                <w:szCs w:val="22"/>
                <w:lang w:val="en-US" w:eastAsia="zh-CN" w:bidi="ar-SA"/>
              </w:rPr>
              <w:t xml:space="preserve"> 《汽车静倾翻稳定性台架试验方法》</w:t>
            </w:r>
            <w:r>
              <w:rPr>
                <w:rFonts w:hint="eastAsia" w:ascii="Times New Roman" w:hAnsi="Times New Roman" w:cs="Times New Roman"/>
                <w:b/>
                <w:color w:val="auto"/>
                <w:kern w:val="2"/>
                <w:sz w:val="20"/>
                <w:szCs w:val="22"/>
                <w:lang w:val="en-US" w:eastAsia="zh-CN" w:bidi="ar-SA"/>
              </w:rPr>
              <w:t>、</w:t>
            </w:r>
            <w:r>
              <w:rPr>
                <w:rFonts w:hint="default" w:ascii="Times New Roman" w:hAnsi="Times New Roman" w:eastAsia="宋体" w:cs="Times New Roman"/>
                <w:b/>
                <w:color w:val="auto"/>
                <w:kern w:val="2"/>
                <w:sz w:val="20"/>
                <w:szCs w:val="22"/>
                <w:lang w:val="en-US" w:eastAsia="zh-CN" w:bidi="ar-SA"/>
              </w:rPr>
              <w:t xml:space="preserve">GB16735-2004 </w:t>
            </w:r>
            <w:r>
              <w:rPr>
                <w:rFonts w:hint="eastAsia" w:ascii="Times New Roman" w:cs="Times New Roman"/>
                <w:b/>
                <w:color w:val="auto"/>
                <w:kern w:val="2"/>
                <w:sz w:val="20"/>
                <w:szCs w:val="22"/>
                <w:lang w:val="en-US" w:eastAsia="zh-CN" w:bidi="ar-SA"/>
              </w:rPr>
              <w:t xml:space="preserve"> 《道路车辆 车辆识别代号（VIN）、</w:t>
            </w:r>
            <w:r>
              <w:rPr>
                <w:rFonts w:hint="default" w:ascii="Times New Roman" w:cs="Times New Roman"/>
                <w:b/>
                <w:color w:val="auto"/>
                <w:kern w:val="2"/>
                <w:sz w:val="20"/>
                <w:szCs w:val="22"/>
                <w:lang w:val="en-US" w:eastAsia="zh-CN" w:bidi="ar-SA"/>
              </w:rPr>
              <w:t xml:space="preserve">GB19151-2003 《机动车用三角警告牌》 </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GB7258-2017 《机动车运行安全技术条件》</w:t>
            </w:r>
          </w:p>
          <w:p>
            <w:pPr>
              <w:rPr>
                <w:color w:val="000000" w:themeColor="text1"/>
                <w:sz w:val="20"/>
                <w:szCs w:val="20"/>
              </w:rPr>
            </w:pPr>
            <w:r>
              <w:rPr>
                <w:rFonts w:hint="default" w:ascii="Times New Roman" w:cs="Times New Roman"/>
                <w:b/>
                <w:color w:val="auto"/>
                <w:kern w:val="2"/>
                <w:sz w:val="20"/>
                <w:szCs w:val="22"/>
                <w:lang w:val="en-US" w:eastAsia="zh-CN" w:bidi="ar-SA"/>
              </w:rPr>
              <w:t>QC/T252-1998</w:t>
            </w:r>
            <w:r>
              <w:rPr>
                <w:rFonts w:hint="eastAsia" w:ascii="Times New Roman" w:cs="Times New Roman"/>
                <w:b/>
                <w:color w:val="auto"/>
                <w:kern w:val="2"/>
                <w:sz w:val="20"/>
                <w:szCs w:val="22"/>
                <w:lang w:val="en-US" w:eastAsia="zh-CN" w:bidi="ar-SA"/>
              </w:rPr>
              <w:t xml:space="preserve"> </w:t>
            </w:r>
            <w:r>
              <w:rPr>
                <w:rFonts w:hint="default" w:ascii="Times New Roman" w:cs="Times New Roman"/>
                <w:b/>
                <w:color w:val="auto"/>
                <w:kern w:val="2"/>
                <w:sz w:val="20"/>
                <w:szCs w:val="22"/>
                <w:lang w:val="en-US" w:eastAsia="zh-CN" w:bidi="ar-SA"/>
              </w:rPr>
              <w:t>《专用汽车定型检验规程》</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QC/T453-2002</w:t>
            </w:r>
            <w:r>
              <w:rPr>
                <w:rFonts w:hint="eastAsia" w:ascii="Times New Roman" w:cs="Times New Roman"/>
                <w:b/>
                <w:color w:val="auto"/>
                <w:kern w:val="2"/>
                <w:sz w:val="20"/>
                <w:szCs w:val="22"/>
                <w:lang w:val="en-US" w:eastAsia="zh-CN" w:bidi="ar-SA"/>
              </w:rPr>
              <w:t xml:space="preserve"> </w:t>
            </w:r>
            <w:r>
              <w:rPr>
                <w:rFonts w:hint="default" w:ascii="Times New Roman" w:cs="Times New Roman"/>
                <w:b/>
                <w:color w:val="auto"/>
                <w:kern w:val="2"/>
                <w:sz w:val="20"/>
                <w:szCs w:val="22"/>
                <w:lang w:val="en-US" w:eastAsia="zh-CN" w:bidi="ar-SA"/>
              </w:rPr>
              <w:t>厢式运输车（江西广泉专用汽车制造有限公司企业技术 条件）</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2010-11-1</w:t>
            </w:r>
            <w:r>
              <w:rPr>
                <w:rFonts w:hint="eastAsia" w:ascii="Times New Roman" w:cs="Times New Roman"/>
                <w:b/>
                <w:color w:val="auto"/>
                <w:kern w:val="2"/>
                <w:sz w:val="20"/>
                <w:szCs w:val="22"/>
                <w:lang w:val="en-US" w:eastAsia="zh-CN" w:bidi="ar-SA"/>
              </w:rPr>
              <w:t xml:space="preserve">   汽车产品定型试验及报告要求2016  、车辆产品《公告》技术审查规范性要求（汽 ［车部分）、</w:t>
            </w:r>
            <w:r>
              <w:rPr>
                <w:rFonts w:hint="default" w:ascii="Times New Roman" w:cs="Times New Roman"/>
                <w:b/>
                <w:color w:val="auto"/>
                <w:kern w:val="2"/>
                <w:sz w:val="20"/>
                <w:szCs w:val="22"/>
                <w:lang w:val="en-US" w:eastAsia="zh-CN" w:bidi="ar-SA"/>
              </w:rPr>
              <w:t>Q/GQH001-2019</w:t>
            </w:r>
            <w:r>
              <w:rPr>
                <w:rFonts w:hint="eastAsia" w:ascii="Times New Roman" w:cs="Times New Roman"/>
                <w:b/>
                <w:color w:val="auto"/>
                <w:kern w:val="2"/>
                <w:sz w:val="20"/>
                <w:szCs w:val="22"/>
                <w:lang w:val="en-US" w:eastAsia="zh-CN" w:bidi="ar-SA"/>
              </w:rPr>
              <w:t xml:space="preserve">  殡仪车技术条件等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年1月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至2020年5月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80"/>
              <w:jc w:val="left"/>
              <w:rPr>
                <w:rFonts w:ascii="宋体"/>
                <w:sz w:val="20"/>
                <w:szCs w:val="20"/>
              </w:rPr>
            </w:pP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80"/>
              <w:jc w:val="left"/>
              <w:rPr>
                <w:rFonts w:ascii="宋体"/>
                <w:sz w:val="20"/>
                <w:szCs w:val="20"/>
              </w:rPr>
            </w:pP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ascii="宋体" w:hAnsi="宋体"/>
                <w:sz w:val="20"/>
                <w:szCs w:val="20"/>
              </w:rPr>
            </w:pPr>
          </w:p>
          <w:p>
            <w:pPr>
              <w:spacing w:line="400" w:lineRule="exact"/>
              <w:ind w:firstLine="560" w:firstLineChars="200"/>
              <w:rPr>
                <w:rFonts w:hint="eastAsia" w:ascii="宋体" w:hAnsi="宋体"/>
                <w:spacing w:val="20"/>
                <w:sz w:val="24"/>
              </w:rPr>
            </w:pPr>
            <w:r>
              <w:rPr>
                <w:rFonts w:hint="eastAsia" w:ascii="宋体" w:hAnsi="宋体"/>
                <w:spacing w:val="20"/>
                <w:sz w:val="24"/>
              </w:rPr>
              <w:t xml:space="preserve">质量至上、持续创新、诚实守信、顾客至上 </w:t>
            </w:r>
          </w:p>
          <w:p>
            <w:pPr>
              <w:spacing w:line="400" w:lineRule="exact"/>
              <w:ind w:firstLine="560" w:firstLineChars="200"/>
              <w:rPr>
                <w:rFonts w:hint="eastAsia" w:ascii="宋体" w:hAnsi="宋体"/>
                <w:spacing w:val="20"/>
                <w:sz w:val="24"/>
              </w:rPr>
            </w:pPr>
            <w:r>
              <w:rPr>
                <w:rFonts w:hint="eastAsia" w:ascii="宋体" w:hAnsi="宋体"/>
                <w:spacing w:val="20"/>
                <w:sz w:val="24"/>
              </w:rPr>
              <w:t>预防为主，降低风险；遵章守法，减污降耗</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p>
          <w:p>
            <w:pPr>
              <w:spacing w:line="360" w:lineRule="auto"/>
              <w:ind w:firstLine="400" w:firstLineChars="200"/>
              <w:rPr>
                <w:rFonts w:ascii="宋体"/>
                <w:sz w:val="20"/>
                <w:szCs w:val="20"/>
              </w:rPr>
            </w:pP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编制《风险和机遇的应对控制程序》，由行政部负责日常管理，确保文件化信息程度足以确信这些过程按策划实施。</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napToGrid w:val="0"/>
              <w:spacing w:line="280" w:lineRule="exact"/>
              <w:ind w:left="1200" w:hanging="1200" w:hangingChars="600"/>
              <w:rPr>
                <w:rFonts w:hint="eastAsia"/>
                <w:b/>
                <w:sz w:val="20"/>
                <w:lang w:eastAsia="zh-CN"/>
              </w:rPr>
            </w:pPr>
            <w:r>
              <w:rPr>
                <w:sz w:val="20"/>
              </w:rPr>
              <w:pict>
                <v:line id="_x0000_s2056" o:spid="_x0000_s2056" o:spt="20" style="position:absolute;left:0pt;margin-left:20.6pt;margin-top:23.6pt;height:0.05pt;width:33.55pt;z-index:251661312;mso-width-relative:page;mso-height-relative:page;" filled="f" stroked="t" coordsize="21600,21600">
                  <v:path arrowok="t"/>
                  <v:fill on="f" focussize="0,0"/>
                  <v:stroke color="#000000" endarrow="open"/>
                  <v:imagedata o:title=""/>
                  <o:lock v:ext="edit" aspectratio="f"/>
                </v:line>
              </w:pict>
            </w:r>
            <w:r>
              <w:rPr>
                <w:sz w:val="20"/>
              </w:rPr>
              <w:pict>
                <v:line id="_x0000_s2055" o:spid="_x0000_s2055" o:spt="20" style="position:absolute;left:0pt;margin-left:175.6pt;margin-top:8.4pt;height:0.05pt;width:33.55pt;z-index:251662336;mso-width-relative:page;mso-height-relative:page;" filled="f" stroked="t" coordsize="21600,21600">
                  <v:path arrowok="t"/>
                  <v:fill on="f" focussize="0,0"/>
                  <v:stroke color="#000000" endarrow="open"/>
                  <v:imagedata o:title=""/>
                  <o:lock v:ext="edit" aspectratio="f"/>
                </v:line>
              </w:pict>
            </w:r>
            <w:r>
              <w:rPr>
                <w:sz w:val="20"/>
              </w:rPr>
              <w:pict>
                <v:line id="_x0000_s2054" o:spid="_x0000_s2054" o:spt="20" style="position:absolute;left:0pt;margin-left:270pt;margin-top:7.9pt;height:0.05pt;width:33.55pt;z-index:251664384;mso-width-relative:page;mso-height-relative:page;" filled="f" stroked="t" coordsize="21600,21600">
                  <v:path arrowok="t"/>
                  <v:fill on="f" focussize="0,0"/>
                  <v:stroke color="#000000" endarrow="open"/>
                  <v:imagedata o:title=""/>
                  <o:lock v:ext="edit" aspectratio="f"/>
                </v:line>
              </w:pict>
            </w:r>
            <w:r>
              <w:rPr>
                <w:sz w:val="20"/>
              </w:rPr>
              <w:pict>
                <v:line id="_x0000_s2053" o:spid="_x0000_s2053" o:spt="20" style="position:absolute;left:0pt;margin-left:364.5pt;margin-top:9.1pt;height:0.05pt;width:33.55pt;z-index:251668480;mso-width-relative:page;mso-height-relative:page;" filled="f" stroked="t" coordsize="21600,21600">
                  <v:path arrowok="t"/>
                  <v:fill on="f" focussize="0,0"/>
                  <v:stroke color="#000000" endarrow="open"/>
                  <v:imagedata o:title=""/>
                  <o:lock v:ext="edit" aspectratio="f"/>
                </v:line>
              </w:pict>
            </w:r>
            <w:r>
              <w:rPr>
                <w:rFonts w:hint="eastAsia" w:ascii="宋体" w:hAnsi="宋体"/>
                <w:b/>
                <w:color w:val="000000" w:themeColor="text1"/>
                <w:sz w:val="20"/>
                <w:szCs w:val="20"/>
              </w:rPr>
              <w:t>质量管理体系过程有：</w:t>
            </w:r>
            <w:r>
              <w:rPr>
                <w:rFonts w:hint="eastAsia"/>
                <w:b/>
                <w:sz w:val="20"/>
              </w:rPr>
              <w:t>原材</w:t>
            </w:r>
            <w:r>
              <w:rPr>
                <w:rFonts w:hint="eastAsia"/>
                <w:b/>
                <w:sz w:val="20"/>
                <w:lang w:eastAsia="zh-CN"/>
              </w:rPr>
              <w:t>料</w:t>
            </w:r>
            <w:r>
              <w:rPr>
                <w:rFonts w:hint="eastAsia"/>
                <w:b/>
                <w:sz w:val="20"/>
              </w:rPr>
              <w:t>采购</w:t>
            </w:r>
            <w:r>
              <w:rPr>
                <w:rFonts w:hint="eastAsia"/>
                <w:b/>
                <w:sz w:val="20"/>
                <w:lang w:val="en-US" w:eastAsia="zh-CN"/>
              </w:rPr>
              <w:t xml:space="preserve">         </w:t>
            </w:r>
            <w:r>
              <w:rPr>
                <w:rFonts w:hint="eastAsia"/>
                <w:b/>
                <w:sz w:val="20"/>
              </w:rPr>
              <w:t>进货检验</w:t>
            </w:r>
            <w:r>
              <w:rPr>
                <w:rFonts w:hint="eastAsia"/>
                <w:b/>
                <w:sz w:val="20"/>
                <w:lang w:val="en-US" w:eastAsia="zh-CN"/>
              </w:rPr>
              <w:t xml:space="preserve">         </w:t>
            </w:r>
            <w:r>
              <w:rPr>
                <w:rFonts w:hint="eastAsia"/>
                <w:b/>
                <w:sz w:val="20"/>
                <w:lang w:eastAsia="zh-CN"/>
              </w:rPr>
              <w:t>激光切割</w:t>
            </w:r>
            <w:r>
              <w:rPr>
                <w:rFonts w:hint="eastAsia"/>
                <w:b/>
                <w:sz w:val="20"/>
                <w:lang w:val="en-US" w:eastAsia="zh-CN"/>
              </w:rPr>
              <w:t xml:space="preserve">        </w:t>
            </w:r>
            <w:r>
              <w:rPr>
                <w:rFonts w:hint="eastAsia"/>
                <w:b/>
                <w:sz w:val="20"/>
                <w:lang w:eastAsia="zh-CN"/>
              </w:rPr>
              <w:t>折弯工序</w:t>
            </w:r>
            <w:r>
              <w:rPr>
                <w:rFonts w:hint="eastAsia"/>
                <w:b/>
                <w:sz w:val="20"/>
                <w:lang w:val="en-US" w:eastAsia="zh-CN"/>
              </w:rPr>
              <w:t xml:space="preserve">         </w:t>
            </w:r>
            <w:r>
              <w:rPr>
                <w:rFonts w:hint="eastAsia"/>
                <w:b/>
                <w:sz w:val="20"/>
                <w:lang w:eastAsia="zh-CN"/>
              </w:rPr>
              <w:t>冲压工序</w:t>
            </w:r>
          </w:p>
          <w:p>
            <w:pPr>
              <w:snapToGrid w:val="0"/>
              <w:spacing w:line="280" w:lineRule="exact"/>
              <w:rPr>
                <w:rFonts w:hint="eastAsia"/>
                <w:b/>
                <w:sz w:val="20"/>
                <w:lang w:eastAsia="zh-CN"/>
              </w:rPr>
            </w:pPr>
          </w:p>
          <w:p>
            <w:pPr>
              <w:snapToGrid w:val="0"/>
              <w:spacing w:line="280" w:lineRule="exact"/>
              <w:ind w:firstLine="800" w:firstLineChars="400"/>
              <w:rPr>
                <w:rFonts w:hint="eastAsia"/>
                <w:b/>
                <w:sz w:val="20"/>
                <w:lang w:eastAsia="zh-CN"/>
              </w:rPr>
            </w:pPr>
            <w:r>
              <w:rPr>
                <w:sz w:val="20"/>
              </w:rPr>
              <w:pict>
                <v:line id="_x0000_s2057" o:spid="_x0000_s2057" o:spt="20" style="position:absolute;left:0pt;margin-left:220.8pt;margin-top:8.8pt;height:0.05pt;width:33.55pt;z-index:251791360;mso-width-relative:page;mso-height-relative:page;" filled="f" stroked="t" coordsize="21600,21600">
                  <v:path arrowok="t"/>
                  <v:fill on="f" focussize="0,0"/>
                  <v:stroke color="#000000" endarrow="open"/>
                  <v:imagedata o:title=""/>
                  <o:lock v:ext="edit" aspectratio="f"/>
                </v:line>
              </w:pict>
            </w:r>
            <w:r>
              <w:rPr>
                <w:sz w:val="20"/>
              </w:rPr>
              <w:pict>
                <v:line id="_x0000_s2058" o:spid="_x0000_s2058" o:spt="20" style="position:absolute;left:0pt;margin-left:162.6pt;margin-top:9.4pt;height:0.05pt;width:33.55pt;z-index:251725824;mso-width-relative:page;mso-height-relative:page;" filled="f" stroked="t" coordsize="21600,21600">
                  <v:path arrowok="t"/>
                  <v:fill on="f" focussize="0,0"/>
                  <v:stroke color="#000000" endarrow="open"/>
                  <v:imagedata o:title=""/>
                  <o:lock v:ext="edit" aspectratio="f"/>
                </v:line>
              </w:pict>
            </w:r>
            <w:r>
              <w:rPr>
                <w:sz w:val="20"/>
              </w:rPr>
              <w:pict>
                <v:line id="_x0000_s2059" o:spid="_x0000_s2059" o:spt="20" style="position:absolute;left:0pt;margin-left:83.4pt;margin-top:9.4pt;height:0.05pt;width:33.55pt;z-index:251693056;mso-width-relative:page;mso-height-relative:page;" filled="f" stroked="t" coordsize="21600,21600">
                  <v:path arrowok="t"/>
                  <v:fill on="f" focussize="0,0"/>
                  <v:stroke color="#000000" endarrow="open"/>
                  <v:imagedata o:title=""/>
                  <o:lock v:ext="edit" aspectratio="f"/>
                </v:line>
              </w:pict>
            </w:r>
            <w:r>
              <w:rPr>
                <w:sz w:val="20"/>
              </w:rPr>
              <w:pict>
                <v:line id="_x0000_s2060" o:spid="_x0000_s2060" o:spt="20" style="position:absolute;left:0pt;margin-left:-1.2pt;margin-top:7pt;height:0.05pt;width:33.55pt;z-index:251676672;mso-width-relative:page;mso-height-relative:page;" filled="f" stroked="t" coordsize="21600,21600">
                  <v:path arrowok="t"/>
                  <v:fill on="f" focussize="0,0"/>
                  <v:stroke color="#000000" endarrow="open"/>
                  <v:imagedata o:title=""/>
                  <o:lock v:ext="edit" aspectratio="f"/>
                </v:line>
              </w:pict>
            </w:r>
            <w:r>
              <w:rPr>
                <w:rFonts w:hint="eastAsia"/>
                <w:b/>
                <w:sz w:val="20"/>
                <w:lang w:eastAsia="zh-CN"/>
              </w:rPr>
              <w:t>焊接工序</w:t>
            </w:r>
            <w:r>
              <w:rPr>
                <w:rFonts w:hint="eastAsia"/>
                <w:b/>
                <w:sz w:val="20"/>
                <w:lang w:val="en-US" w:eastAsia="zh-CN"/>
              </w:rPr>
              <w:t xml:space="preserve">        </w:t>
            </w:r>
            <w:r>
              <w:rPr>
                <w:rFonts w:hint="eastAsia"/>
                <w:b/>
                <w:sz w:val="20"/>
                <w:lang w:eastAsia="zh-CN"/>
              </w:rPr>
              <w:t>组装工序</w:t>
            </w:r>
            <w:r>
              <w:rPr>
                <w:rFonts w:hint="eastAsia"/>
                <w:b/>
                <w:sz w:val="20"/>
                <w:lang w:val="en-US" w:eastAsia="zh-CN"/>
              </w:rPr>
              <w:t xml:space="preserve">       </w:t>
            </w:r>
            <w:r>
              <w:rPr>
                <w:rFonts w:hint="eastAsia"/>
                <w:b/>
                <w:sz w:val="20"/>
                <w:lang w:eastAsia="zh-CN"/>
              </w:rPr>
              <w:t>总检</w:t>
            </w:r>
            <w:r>
              <w:rPr>
                <w:rFonts w:hint="eastAsia"/>
                <w:b/>
                <w:sz w:val="20"/>
                <w:lang w:val="en-US" w:eastAsia="zh-CN"/>
              </w:rPr>
              <w:t xml:space="preserve">         </w:t>
            </w:r>
            <w:r>
              <w:rPr>
                <w:rFonts w:hint="eastAsia"/>
                <w:b/>
                <w:sz w:val="20"/>
                <w:lang w:eastAsia="zh-CN"/>
              </w:rPr>
              <w:t>整车出厂</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u w:val="single"/>
              </w:rPr>
              <w:t xml:space="preserve">    焊接</w:t>
            </w:r>
            <w:r>
              <w:rPr>
                <w:rFonts w:hint="eastAsia" w:ascii="宋体" w:hAnsi="宋体"/>
                <w:b/>
                <w:color w:val="000000" w:themeColor="text1"/>
                <w:sz w:val="20"/>
                <w:szCs w:val="20"/>
                <w:u w:val="single"/>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需要确认过程  焊接</w:t>
            </w:r>
            <w:r>
              <w:rPr>
                <w:rFonts w:hint="eastAsia" w:ascii="宋体" w:hAnsi="宋体"/>
                <w:b/>
                <w:color w:val="000000" w:themeColor="text1"/>
                <w:sz w:val="20"/>
                <w:szCs w:val="20"/>
                <w:lang w:val="en-US" w:eastAsia="zh-CN"/>
              </w:rPr>
              <w:t>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w:t>
            </w:r>
            <w:r>
              <w:rPr>
                <w:rFonts w:hint="eastAsia" w:ascii="宋体" w:hAnsi="宋体"/>
                <w:b/>
                <w:color w:val="000000"/>
                <w:sz w:val="20"/>
                <w:szCs w:val="20"/>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sz w:val="20"/>
                <w:szCs w:val="20"/>
              </w:rPr>
              <w:t>环境因素辨识充分，重要环境因素：</w:t>
            </w:r>
            <w:r>
              <w:rPr>
                <w:rFonts w:hint="eastAsia"/>
                <w:b/>
                <w:sz w:val="20"/>
                <w:lang w:val="en-US" w:eastAsia="zh-CN"/>
              </w:rPr>
              <w:t>固体废物排放、潜在火灾、噪声排放、废气的排放</w:t>
            </w:r>
            <w:r>
              <w:rPr>
                <w:rFonts w:hint="eastAsia" w:ascii="宋体" w:hAnsi="宋体" w:cs="宋体"/>
                <w:b/>
                <w:bCs/>
                <w:color w:val="000000"/>
                <w:sz w:val="24"/>
                <w:szCs w:val="32"/>
                <w:lang w:eastAsia="zh-CN"/>
              </w:rPr>
              <w:t>，</w:t>
            </w:r>
            <w:r>
              <w:rPr>
                <w:rFonts w:hint="eastAsia"/>
                <w:b/>
                <w:color w:val="000000"/>
                <w:sz w:val="20"/>
                <w:szCs w:val="20"/>
              </w:rPr>
              <w:t>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四</w:t>
            </w:r>
            <w:r>
              <w:rPr>
                <w:rFonts w:hint="eastAsia" w:ascii="宋体" w:hAnsi="宋体"/>
                <w:b/>
                <w:color w:val="000000"/>
                <w:sz w:val="20"/>
                <w:szCs w:val="20"/>
              </w:rPr>
              <w:t>个：</w:t>
            </w:r>
            <w:r>
              <w:rPr>
                <w:rFonts w:hint="eastAsia"/>
                <w:b/>
                <w:sz w:val="20"/>
                <w:lang w:val="en-US" w:eastAsia="zh-CN"/>
              </w:rPr>
              <w:t>机械伤害、噪声排放 、潜在火灾、触电伤害，</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获取法律法规9</w:t>
            </w:r>
            <w:r>
              <w:rPr>
                <w:rFonts w:hint="eastAsia" w:ascii="宋体" w:hAnsi="宋体"/>
                <w:b/>
                <w:color w:val="000000" w:themeColor="text1"/>
                <w:szCs w:val="21"/>
                <w:lang w:val="en-US" w:eastAsia="zh-CN"/>
              </w:rPr>
              <w:t>3</w:t>
            </w:r>
            <w:r>
              <w:rPr>
                <w:rFonts w:hint="eastAsia" w:ascii="宋体" w:hAnsi="宋体"/>
                <w:b/>
                <w:color w:val="000000" w:themeColor="text1"/>
                <w:szCs w:val="21"/>
              </w:rPr>
              <w:t>项，</w:t>
            </w:r>
            <w:r>
              <w:rPr>
                <w:rFonts w:hint="eastAsia" w:ascii="宋体" w:hAnsi="宋体"/>
                <w:b/>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szCs w:val="21"/>
              </w:rPr>
              <w:t>■</w:t>
            </w:r>
            <w:r>
              <w:rPr>
                <w:rFonts w:hint="eastAsia" w:ascii="宋体" w:hAnsi="宋体"/>
                <w:b/>
                <w:color w:val="000000" w:themeColor="text1"/>
                <w:szCs w:val="21"/>
              </w:rPr>
              <w:t>产品/服务</w:t>
            </w:r>
            <w:r>
              <w:rPr>
                <w:rFonts w:hint="eastAsia" w:ascii="宋体" w:hAnsi="宋体"/>
                <w:b/>
                <w:color w:val="000000"/>
                <w:szCs w:val="21"/>
              </w:rPr>
              <w:t>■</w:t>
            </w:r>
            <w:r>
              <w:rPr>
                <w:rFonts w:hint="eastAsia" w:ascii="宋体" w:hAnsi="宋体"/>
                <w:b/>
                <w:color w:val="000000" w:themeColor="text1"/>
                <w:szCs w:val="21"/>
              </w:rPr>
              <w:t>环境因素</w:t>
            </w:r>
            <w:r>
              <w:rPr>
                <w:rFonts w:hint="eastAsia" w:ascii="宋体" w:hAnsi="宋体"/>
                <w:b/>
                <w:color w:val="000000"/>
                <w:szCs w:val="21"/>
              </w:rPr>
              <w:t>■</w:t>
            </w:r>
            <w:r>
              <w:rPr>
                <w:rFonts w:hint="eastAsia" w:ascii="宋体" w:hAnsi="宋体"/>
                <w:b/>
                <w:color w:val="000000" w:themeColor="text1"/>
                <w:szCs w:val="21"/>
              </w:rPr>
              <w:t>危险源，</w:t>
            </w:r>
            <w:r>
              <w:rPr>
                <w:rFonts w:hint="eastAsia" w:ascii="宋体" w:hAnsi="宋体"/>
                <w:b/>
                <w:color w:val="000000"/>
                <w:szCs w:val="21"/>
              </w:rPr>
              <w:t>■</w:t>
            </w:r>
            <w:r>
              <w:rPr>
                <w:rFonts w:hint="eastAsia" w:ascii="宋体" w:hAnsi="宋体"/>
                <w:b/>
                <w:color w:val="000000" w:themeColor="text1"/>
                <w:szCs w:val="21"/>
              </w:rPr>
              <w:t>确定 □未确定法律法规要求的具体条款，</w:t>
            </w:r>
          </w:p>
          <w:p>
            <w:pPr>
              <w:pStyle w:val="11"/>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rPr>
                <w:rFonts w:ascii="宋体" w:hAnsi="宋体"/>
                <w:b/>
                <w:color w:val="000000"/>
                <w:spacing w:val="-8"/>
                <w:sz w:val="20"/>
                <w:szCs w:val="20"/>
              </w:rPr>
            </w:pPr>
            <w:r>
              <w:rPr>
                <w:rFonts w:hint="eastAsia" w:ascii="宋体" w:hAnsi="宋体"/>
                <w:b/>
                <w:color w:val="000000"/>
                <w:spacing w:val="-8"/>
                <w:sz w:val="20"/>
                <w:szCs w:val="20"/>
              </w:rPr>
              <w:t>质量目标：</w:t>
            </w:r>
          </w:p>
          <w:p>
            <w:pPr>
              <w:spacing w:line="400" w:lineRule="exact"/>
              <w:ind w:firstLine="560" w:firstLineChars="200"/>
              <w:rPr>
                <w:rFonts w:hint="eastAsia" w:ascii="宋体" w:hAnsi="宋体"/>
                <w:spacing w:val="20"/>
                <w:sz w:val="24"/>
              </w:rPr>
            </w:pPr>
            <w:r>
              <w:rPr>
                <w:rFonts w:hint="eastAsia" w:ascii="宋体" w:hAnsi="宋体"/>
                <w:spacing w:val="20"/>
                <w:sz w:val="24"/>
              </w:rPr>
              <w:t>成品一次交验合格率≥97%</w:t>
            </w:r>
          </w:p>
          <w:p>
            <w:pPr>
              <w:pStyle w:val="11"/>
              <w:numPr>
                <w:ilvl w:val="0"/>
                <w:numId w:val="0"/>
              </w:numPr>
              <w:spacing w:line="400" w:lineRule="exact"/>
              <w:ind w:left="560" w:leftChars="0"/>
              <w:rPr>
                <w:rFonts w:ascii="宋体" w:hAnsi="宋体"/>
                <w:b/>
                <w:color w:val="000000"/>
                <w:spacing w:val="-8"/>
                <w:sz w:val="20"/>
                <w:szCs w:val="20"/>
              </w:rPr>
            </w:pPr>
            <w:r>
              <w:rPr>
                <w:rFonts w:hint="eastAsia" w:ascii="宋体" w:hAnsi="宋体"/>
                <w:spacing w:val="20"/>
                <w:sz w:val="24"/>
              </w:rPr>
              <w:t>顾客满意度≥95分 ；</w:t>
            </w:r>
            <w:r>
              <w:rPr>
                <w:rFonts w:hint="eastAsia" w:ascii="宋体" w:hAnsi="宋体"/>
                <w:b/>
                <w:color w:val="000000"/>
                <w:spacing w:val="-8"/>
                <w:sz w:val="20"/>
                <w:szCs w:val="20"/>
              </w:rPr>
              <w:t xml:space="preserve"> </w:t>
            </w:r>
          </w:p>
          <w:p>
            <w:pPr>
              <w:spacing w:line="400" w:lineRule="exact"/>
              <w:rPr>
                <w:rFonts w:ascii="宋体" w:hAnsi="宋体"/>
                <w:b/>
                <w:color w:val="000000"/>
                <w:spacing w:val="-8"/>
                <w:sz w:val="20"/>
                <w:szCs w:val="20"/>
              </w:rPr>
            </w:pPr>
            <w:r>
              <w:rPr>
                <w:rFonts w:hint="eastAsia" w:ascii="宋体" w:hAnsi="宋体"/>
                <w:b/>
                <w:color w:val="000000"/>
                <w:spacing w:val="-8"/>
                <w:sz w:val="20"/>
                <w:szCs w:val="20"/>
              </w:rPr>
              <w:t>环境/职业健康安全目标：</w:t>
            </w:r>
          </w:p>
          <w:p>
            <w:pPr>
              <w:spacing w:line="400" w:lineRule="exact"/>
              <w:ind w:left="862"/>
              <w:rPr>
                <w:rFonts w:hint="eastAsia" w:ascii="宋体" w:hAnsi="宋体"/>
                <w:color w:val="000000"/>
                <w:sz w:val="21"/>
                <w:szCs w:val="21"/>
              </w:rPr>
            </w:pPr>
            <w:r>
              <w:rPr>
                <w:rFonts w:hint="eastAsia" w:ascii="宋体" w:hAnsi="宋体"/>
                <w:color w:val="000000"/>
                <w:sz w:val="21"/>
                <w:szCs w:val="21"/>
              </w:rPr>
              <w:t>火灾、触电机械伤害为0</w:t>
            </w:r>
          </w:p>
          <w:p>
            <w:pPr>
              <w:spacing w:line="400" w:lineRule="exact"/>
              <w:ind w:left="862"/>
              <w:rPr>
                <w:rFonts w:hint="eastAsia" w:ascii="宋体" w:hAnsi="宋体"/>
                <w:color w:val="000000"/>
                <w:sz w:val="21"/>
                <w:szCs w:val="21"/>
              </w:rPr>
            </w:pPr>
            <w:r>
              <w:rPr>
                <w:rFonts w:hint="eastAsia" w:ascii="宋体" w:hAnsi="宋体"/>
                <w:color w:val="000000"/>
                <w:sz w:val="21"/>
                <w:szCs w:val="21"/>
              </w:rPr>
              <w:t>职业病发病为0</w:t>
            </w:r>
          </w:p>
          <w:p>
            <w:pPr>
              <w:spacing w:after="0"/>
              <w:ind w:firstLine="840" w:firstLineChars="400"/>
              <w:rPr>
                <w:rFonts w:ascii="宋体" w:hAnsi="宋体"/>
                <w:sz w:val="21"/>
                <w:szCs w:val="21"/>
              </w:rPr>
            </w:pPr>
            <w:r>
              <w:rPr>
                <w:rFonts w:hint="eastAsia" w:ascii="宋体" w:hAnsi="宋体"/>
                <w:sz w:val="21"/>
                <w:szCs w:val="21"/>
              </w:rPr>
              <w:t>固体废弃物分类处置</w:t>
            </w:r>
          </w:p>
          <w:p>
            <w:pPr>
              <w:spacing w:line="400" w:lineRule="exact"/>
              <w:ind w:left="862"/>
              <w:rPr>
                <w:rFonts w:hint="eastAsia" w:ascii="宋体" w:hAnsi="宋体"/>
                <w:color w:val="000000"/>
                <w:sz w:val="21"/>
                <w:szCs w:val="21"/>
              </w:rPr>
            </w:pPr>
            <w:r>
              <w:rPr>
                <w:rFonts w:hint="eastAsia" w:ascii="宋体" w:hAnsi="宋体" w:cs="HAAPML+ºÚÌå"/>
                <w:sz w:val="21"/>
                <w:szCs w:val="21"/>
              </w:rPr>
              <w:t>噪声\粉尘达标排放</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00" w:firstLineChars="200"/>
              <w:rPr>
                <w:rFonts w:ascii="宋体"/>
                <w:sz w:val="20"/>
                <w:szCs w:val="20"/>
              </w:rPr>
            </w:pPr>
            <w:r>
              <w:rPr>
                <w:rFonts w:hint="eastAsia" w:ascii="宋体" w:hAnsi="宋体"/>
                <w:sz w:val="20"/>
                <w:szCs w:val="20"/>
              </w:rPr>
              <w:t>公司编制《文件控制程序》以控制三标一体化管理体系和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对确定策划和运行三标一体化管理体系所必需的来自外部的原始的形成文件的信息，公司行政部负责进行识别和控制。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360" w:lineRule="auto"/>
              <w:ind w:firstLine="400" w:firstLineChars="200"/>
              <w:rPr>
                <w:rFonts w:ascii="宋体" w:hAnsi="宋体"/>
                <w:sz w:val="20"/>
                <w:szCs w:val="20"/>
              </w:rPr>
            </w:pPr>
            <w:r>
              <w:rPr>
                <w:rFonts w:hint="eastAsia" w:ascii="宋体" w:hAnsi="宋体"/>
                <w:sz w:val="20"/>
                <w:szCs w:val="20"/>
              </w:rPr>
              <w:t>公司编制《设备控制程序》，确定、提供并维护所需的基础设施，以运行过程并获得合格产品和服务。所需的基础设施包括：建筑物和相关设施、设备（包括硬件和软件）、运输资源、信息和服装机枪设备及配件。</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w:t>
            </w:r>
            <w:r>
              <w:rPr>
                <w:rFonts w:hint="eastAsia"/>
                <w:sz w:val="22"/>
                <w:szCs w:val="28"/>
              </w:rPr>
              <w:t>监视和测量控制程序</w:t>
            </w:r>
            <w:r>
              <w:rPr>
                <w:rFonts w:hint="eastAsia" w:ascii="宋体" w:hAnsi="宋体"/>
                <w:sz w:val="20"/>
                <w:szCs w:val="20"/>
              </w:rPr>
              <w:t>》，用来确定并提供确保利用监视或测量活动来验证产品和服务符合要求的结果有效和可靠所需的资源，以确保所提供的资源适合特定类型的监视和测量活动，并得到适当的维护，以确保持续适合其用途。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rPr>
              <w:t>行政部负责保留作为监视和测量资源适合其用途的证据的形成文件的信息。</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公司行政部负责保持这些知识，并确保在需要范围内可得到。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楷体" w:hAnsi="楷体" w:eastAsia="楷体" w:cs="宋体"/>
                <w:bCs/>
                <w:szCs w:val="21"/>
              </w:rPr>
              <w:t>环保设备配置</w:t>
            </w:r>
            <w:r>
              <w:rPr>
                <w:rFonts w:ascii="楷体" w:hAnsi="楷体" w:eastAsia="楷体" w:cs="宋体"/>
                <w:bCs/>
                <w:szCs w:val="21"/>
              </w:rPr>
              <w:t>:</w:t>
            </w:r>
            <w:r>
              <w:rPr>
                <w:rFonts w:hint="eastAsia" w:ascii="楷体" w:hAnsi="楷体" w:eastAsia="楷体" w:cs="宋体"/>
                <w:szCs w:val="21"/>
              </w:rPr>
              <w:t>生活污水经隔油+化粪池、</w:t>
            </w:r>
            <w:r>
              <w:rPr>
                <w:rFonts w:hint="eastAsia" w:ascii="楷体" w:hAnsi="楷体" w:eastAsia="楷体" w:cs="宋体"/>
                <w:szCs w:val="21"/>
                <w:lang w:val="en-US" w:eastAsia="zh-CN"/>
              </w:rPr>
              <w:t>焊烟中央集尘处理器</w:t>
            </w:r>
            <w:r>
              <w:rPr>
                <w:rFonts w:hint="eastAsia" w:ascii="楷体" w:hAnsi="楷体" w:eastAsia="楷体" w:cs="宋体"/>
                <w:szCs w:val="21"/>
              </w:rPr>
              <w:t>、</w:t>
            </w:r>
            <w:r>
              <w:rPr>
                <w:rFonts w:hint="eastAsia" w:ascii="楷体" w:hAnsi="楷体" w:eastAsia="楷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sz w:val="20"/>
                <w:szCs w:val="20"/>
              </w:rPr>
              <w:t>消防栓、灭火器、</w:t>
            </w:r>
            <w:r>
              <w:rPr>
                <w:rFonts w:hint="eastAsia" w:ascii="楷体" w:hAnsi="楷体" w:eastAsia="楷体" w:cs="宋体"/>
                <w:bCs/>
                <w:szCs w:val="21"/>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内部沟通的情况：内部沟通方式：内部沟通方式：文件、开会、微信等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sz w:val="20"/>
                <w:szCs w:val="20"/>
              </w:rPr>
              <w:t>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sz w:val="20"/>
                <w:szCs w:val="20"/>
              </w:rPr>
              <w:t>告之员工和外来人员并张贴警示标记。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楷体_GB2312" w:eastAsia="楷体_GB2312"/>
                <w:b/>
                <w:color w:val="000000"/>
                <w:sz w:val="20"/>
                <w:szCs w:val="20"/>
              </w:rPr>
              <w:t>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3.  QMS 组织对重要过程实施控制的结果</w:t>
            </w:r>
          </w:p>
          <w:p>
            <w:pPr>
              <w:spacing w:line="240" w:lineRule="exact"/>
              <w:ind w:left="193" w:leftChars="42" w:hanging="105" w:hangingChars="50"/>
            </w:pPr>
            <w:r>
              <w:rPr>
                <w:rFonts w:hint="eastAsia"/>
              </w:rPr>
              <w:t>(包括对QMS关键工序(过程)、特殊过程控制;评价组织对过程实施控制情况/)</w:t>
            </w:r>
          </w:p>
          <w:p>
            <w:pPr>
              <w:spacing w:line="240" w:lineRule="exact"/>
              <w:rPr>
                <w:rFonts w:hint="eastAsia"/>
              </w:rPr>
            </w:pPr>
            <w:r>
              <w:rPr>
                <w:rFonts w:hint="eastAsia"/>
              </w:rPr>
              <w:t>焊接为重要过程，公司实施严格控制，做好采购产品的质量控制，效果明显，未发生质量纠纷。</w:t>
            </w:r>
          </w:p>
          <w:p>
            <w:pPr>
              <w:spacing w:before="120" w:line="160" w:lineRule="exact"/>
              <w:rPr>
                <w:rFonts w:hint="default" w:ascii="方正仿宋简体" w:eastAsia="方正仿宋简体"/>
                <w:b/>
                <w:lang w:val="en-US"/>
              </w:rPr>
            </w:pPr>
            <w:r>
              <w:rPr>
                <w:rFonts w:hint="eastAsia" w:hAnsiTheme="minorEastAsia" w:eastAsiaTheme="minorEastAsia"/>
                <w:sz w:val="21"/>
                <w:szCs w:val="21"/>
                <w:lang w:val="en-US" w:eastAsia="zh-CN"/>
              </w:rPr>
              <w:t>技术部未能提供GQH5032XBY产品出厂整车确认检验报告</w:t>
            </w:r>
            <w:r>
              <w:rPr>
                <w:rFonts w:hint="eastAsia" w:hAnsiTheme="minorEastAsia" w:eastAsiaTheme="minorEastAsia"/>
                <w:sz w:val="24"/>
                <w:szCs w:val="24"/>
                <w:lang w:val="en-US" w:eastAsia="zh-CN"/>
              </w:rPr>
              <w:t>。</w:t>
            </w:r>
            <w:r>
              <w:rPr>
                <w:rFonts w:hint="eastAsia" w:hAnsiTheme="minorEastAsia" w:eastAsiaTheme="minorEastAsia"/>
                <w:sz w:val="21"/>
                <w:szCs w:val="21"/>
                <w:lang w:val="en-US" w:eastAsia="zh-CN"/>
              </w:rPr>
              <w:t>开具了不符合。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280" w:lineRule="exact"/>
              <w:jc w:val="left"/>
              <w:rPr>
                <w:rFonts w:hint="default" w:ascii="Times New Roman" w:cs="Times New Roman"/>
                <w:b/>
                <w:color w:val="auto"/>
                <w:kern w:val="2"/>
                <w:sz w:val="20"/>
                <w:szCs w:val="22"/>
                <w:lang w:val="en-US" w:eastAsia="zh-CN" w:bidi="ar-SA"/>
              </w:rPr>
            </w:pPr>
            <w:r>
              <w:rPr>
                <w:b/>
                <w:color w:val="000000" w:themeColor="text1"/>
                <w:sz w:val="20"/>
                <w:szCs w:val="20"/>
              </w:rPr>
              <w:t>企业采用标准：</w:t>
            </w:r>
            <w:r>
              <w:rPr>
                <w:rFonts w:hint="eastAsia" w:ascii="Times New Roman" w:hAnsi="Times New Roman" w:cs="Times New Roman"/>
                <w:b/>
                <w:sz w:val="20"/>
                <w:szCs w:val="22"/>
                <w:lang w:val="en-US" w:eastAsia="zh-CN"/>
              </w:rPr>
              <w:t>GB1589-2016  汽车、挂车及汽车列车外廓尺寸、轴荷及质量限值、</w:t>
            </w:r>
            <w:r>
              <w:rPr>
                <w:rFonts w:hint="default" w:ascii="Times New Roman" w:hAnsi="Times New Roman" w:eastAsia="宋体" w:cs="Times New Roman"/>
                <w:b/>
                <w:color w:val="auto"/>
                <w:kern w:val="2"/>
                <w:sz w:val="20"/>
                <w:szCs w:val="22"/>
                <w:lang w:val="en-US" w:eastAsia="zh-CN" w:bidi="ar-SA"/>
              </w:rPr>
              <w:t xml:space="preserve">GB/T14172-2009 </w:t>
            </w:r>
            <w:r>
              <w:rPr>
                <w:rFonts w:hint="eastAsia" w:ascii="Times New Roman" w:hAnsi="Times New Roman" w:eastAsia="宋体" w:cs="Times New Roman"/>
                <w:b/>
                <w:color w:val="auto"/>
                <w:kern w:val="2"/>
                <w:sz w:val="20"/>
                <w:szCs w:val="22"/>
                <w:lang w:val="en-US" w:eastAsia="zh-CN" w:bidi="ar-SA"/>
              </w:rPr>
              <w:t xml:space="preserve"> 《汽车静倾翻稳定性台架试验方法》</w:t>
            </w:r>
            <w:r>
              <w:rPr>
                <w:rFonts w:hint="eastAsia" w:ascii="Times New Roman" w:hAnsi="Times New Roman" w:cs="Times New Roman"/>
                <w:b/>
                <w:color w:val="auto"/>
                <w:kern w:val="2"/>
                <w:sz w:val="20"/>
                <w:szCs w:val="22"/>
                <w:lang w:val="en-US" w:eastAsia="zh-CN" w:bidi="ar-SA"/>
              </w:rPr>
              <w:t>、</w:t>
            </w:r>
            <w:r>
              <w:rPr>
                <w:rFonts w:hint="default" w:ascii="Times New Roman" w:hAnsi="Times New Roman" w:eastAsia="宋体" w:cs="Times New Roman"/>
                <w:b/>
                <w:color w:val="auto"/>
                <w:kern w:val="2"/>
                <w:sz w:val="20"/>
                <w:szCs w:val="22"/>
                <w:lang w:val="en-US" w:eastAsia="zh-CN" w:bidi="ar-SA"/>
              </w:rPr>
              <w:t xml:space="preserve">GB16735-2004 </w:t>
            </w:r>
            <w:r>
              <w:rPr>
                <w:rFonts w:hint="eastAsia" w:ascii="Times New Roman" w:cs="Times New Roman"/>
                <w:b/>
                <w:color w:val="auto"/>
                <w:kern w:val="2"/>
                <w:sz w:val="20"/>
                <w:szCs w:val="22"/>
                <w:lang w:val="en-US" w:eastAsia="zh-CN" w:bidi="ar-SA"/>
              </w:rPr>
              <w:t xml:space="preserve"> 《道路车辆 车辆识别代号（VIN）、</w:t>
            </w:r>
            <w:r>
              <w:rPr>
                <w:rFonts w:hint="default" w:ascii="Times New Roman" w:cs="Times New Roman"/>
                <w:b/>
                <w:color w:val="auto"/>
                <w:kern w:val="2"/>
                <w:sz w:val="20"/>
                <w:szCs w:val="22"/>
                <w:lang w:val="en-US" w:eastAsia="zh-CN" w:bidi="ar-SA"/>
              </w:rPr>
              <w:t xml:space="preserve">GB19151-2003 《机动车用三角警告牌》 </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GB7258-2017 《机动车运行安全技术条件》</w:t>
            </w:r>
          </w:p>
          <w:p>
            <w:pPr>
              <w:spacing w:line="300" w:lineRule="exact"/>
              <w:rPr>
                <w:rFonts w:hint="eastAsia" w:eastAsia="宋体"/>
                <w:b/>
                <w:color w:val="000000" w:themeColor="text1"/>
                <w:sz w:val="20"/>
                <w:szCs w:val="20"/>
                <w:lang w:eastAsia="zh-CN"/>
              </w:rPr>
            </w:pPr>
            <w:r>
              <w:rPr>
                <w:rFonts w:hint="default" w:ascii="Times New Roman" w:cs="Times New Roman"/>
                <w:b/>
                <w:color w:val="auto"/>
                <w:kern w:val="2"/>
                <w:sz w:val="20"/>
                <w:szCs w:val="22"/>
                <w:lang w:val="en-US" w:eastAsia="zh-CN" w:bidi="ar-SA"/>
              </w:rPr>
              <w:t>QC/T252-1998</w:t>
            </w:r>
            <w:r>
              <w:rPr>
                <w:rFonts w:hint="eastAsia" w:ascii="Times New Roman" w:cs="Times New Roman"/>
                <w:b/>
                <w:color w:val="auto"/>
                <w:kern w:val="2"/>
                <w:sz w:val="20"/>
                <w:szCs w:val="22"/>
                <w:lang w:val="en-US" w:eastAsia="zh-CN" w:bidi="ar-SA"/>
              </w:rPr>
              <w:t xml:space="preserve"> </w:t>
            </w:r>
            <w:r>
              <w:rPr>
                <w:rFonts w:hint="default" w:ascii="Times New Roman" w:cs="Times New Roman"/>
                <w:b/>
                <w:color w:val="auto"/>
                <w:kern w:val="2"/>
                <w:sz w:val="20"/>
                <w:szCs w:val="22"/>
                <w:lang w:val="en-US" w:eastAsia="zh-CN" w:bidi="ar-SA"/>
              </w:rPr>
              <w:t>《专用汽车定型检验规程》</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QC/T453-2002</w:t>
            </w:r>
            <w:r>
              <w:rPr>
                <w:rFonts w:hint="eastAsia" w:ascii="Times New Roman" w:cs="Times New Roman"/>
                <w:b/>
                <w:color w:val="auto"/>
                <w:kern w:val="2"/>
                <w:sz w:val="20"/>
                <w:szCs w:val="22"/>
                <w:lang w:val="en-US" w:eastAsia="zh-CN" w:bidi="ar-SA"/>
              </w:rPr>
              <w:t xml:space="preserve"> </w:t>
            </w:r>
            <w:r>
              <w:rPr>
                <w:rFonts w:hint="default" w:ascii="Times New Roman" w:cs="Times New Roman"/>
                <w:b/>
                <w:color w:val="auto"/>
                <w:kern w:val="2"/>
                <w:sz w:val="20"/>
                <w:szCs w:val="22"/>
                <w:lang w:val="en-US" w:eastAsia="zh-CN" w:bidi="ar-SA"/>
              </w:rPr>
              <w:t>厢式运输车（江西广泉专用汽车制造有限公司企业技术 条件）</w:t>
            </w:r>
            <w:r>
              <w:rPr>
                <w:rFonts w:hint="eastAsia" w:ascii="Times New Roman" w:cs="Times New Roman"/>
                <w:b/>
                <w:color w:val="auto"/>
                <w:kern w:val="2"/>
                <w:sz w:val="20"/>
                <w:szCs w:val="22"/>
                <w:lang w:val="en-US" w:eastAsia="zh-CN" w:bidi="ar-SA"/>
              </w:rPr>
              <w:t>、</w:t>
            </w:r>
            <w:r>
              <w:rPr>
                <w:rFonts w:hint="default" w:ascii="Times New Roman" w:cs="Times New Roman"/>
                <w:b/>
                <w:color w:val="auto"/>
                <w:kern w:val="2"/>
                <w:sz w:val="20"/>
                <w:szCs w:val="22"/>
                <w:lang w:val="en-US" w:eastAsia="zh-CN" w:bidi="ar-SA"/>
              </w:rPr>
              <w:t>2010-11-1</w:t>
            </w:r>
            <w:r>
              <w:rPr>
                <w:rFonts w:hint="eastAsia" w:ascii="Times New Roman" w:cs="Times New Roman"/>
                <w:b/>
                <w:color w:val="auto"/>
                <w:kern w:val="2"/>
                <w:sz w:val="20"/>
                <w:szCs w:val="22"/>
                <w:lang w:val="en-US" w:eastAsia="zh-CN" w:bidi="ar-SA"/>
              </w:rPr>
              <w:t xml:space="preserve">   汽车产品定型试验及报告要求2016  、车辆产品《公告》技术审查规范性要求（汽 ［车部分）、</w:t>
            </w:r>
            <w:r>
              <w:rPr>
                <w:rFonts w:hint="default" w:ascii="Times New Roman" w:cs="Times New Roman"/>
                <w:b/>
                <w:color w:val="auto"/>
                <w:kern w:val="2"/>
                <w:sz w:val="20"/>
                <w:szCs w:val="22"/>
                <w:lang w:val="en-US" w:eastAsia="zh-CN" w:bidi="ar-SA"/>
              </w:rPr>
              <w:t>Q/GQH001-2019</w:t>
            </w:r>
            <w:r>
              <w:rPr>
                <w:rFonts w:hint="eastAsia" w:ascii="Times New Roman" w:cs="Times New Roman"/>
                <w:b/>
                <w:color w:val="auto"/>
                <w:kern w:val="2"/>
                <w:sz w:val="20"/>
                <w:szCs w:val="22"/>
                <w:lang w:val="en-US" w:eastAsia="zh-CN" w:bidi="ar-SA"/>
              </w:rPr>
              <w:t xml:space="preserve">  殡仪车技术条件等</w:t>
            </w:r>
            <w:r>
              <w:rPr>
                <w:rFonts w:hint="eastAsia"/>
                <w:b/>
                <w:color w:val="000000" w:themeColor="text1"/>
                <w:sz w:val="20"/>
                <w:szCs w:val="20"/>
              </w:rPr>
              <w:t>企业制定的《作业指导书》、相关合同及客户要求</w:t>
            </w:r>
            <w:r>
              <w:rPr>
                <w:rFonts w:hint="eastAsia"/>
                <w:b/>
                <w:color w:val="000000" w:themeColor="text1"/>
                <w:sz w:val="20"/>
                <w:szCs w:val="20"/>
                <w:lang w:eastAsia="zh-CN"/>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11" w:firstLineChars="100"/>
              <w:rPr>
                <w:rFonts w:hint="default" w:ascii="宋体" w:eastAsia="宋体"/>
                <w:b/>
                <w:szCs w:val="21"/>
                <w:lang w:val="en-US" w:eastAsia="zh-CN"/>
              </w:rPr>
            </w:pPr>
            <w:r>
              <w:rPr>
                <w:rFonts w:hint="eastAsia" w:ascii="宋体"/>
                <w:b/>
                <w:szCs w:val="21"/>
              </w:rPr>
              <w:t>检验结果合格。</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00" w:firstLineChars="200"/>
              <w:rPr>
                <w:rFonts w:ascii="宋体"/>
                <w:sz w:val="20"/>
                <w:szCs w:val="20"/>
              </w:rPr>
            </w:pPr>
            <w:r>
              <w:rPr>
                <w:rFonts w:hint="eastAsia" w:ascii="宋体" w:hAnsi="宋体"/>
                <w:sz w:val="20"/>
                <w:szCs w:val="20"/>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ascii="楷体" w:hAnsi="楷体" w:eastAsia="楷体" w:cs="宋体"/>
                <w:szCs w:val="21"/>
              </w:rPr>
            </w:pPr>
            <w:r>
              <w:rPr>
                <w:rFonts w:hint="eastAsia" w:ascii="楷体" w:hAnsi="楷体" w:eastAsia="楷体" w:cs="宋体"/>
                <w:szCs w:val="21"/>
              </w:rPr>
              <w:t>编制与环境、安全体系运行控制有关的文件有</w:t>
            </w:r>
            <w:r>
              <w:rPr>
                <w:rFonts w:hint="eastAsia" w:ascii="楷体" w:hAnsi="楷体" w:eastAsia="楷体" w:cs="楷体"/>
                <w:szCs w:val="21"/>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Pr>
                <w:rFonts w:ascii="楷体" w:hAnsi="楷体" w:eastAsia="楷体" w:cs="楷体"/>
                <w:szCs w:val="21"/>
              </w:rPr>
              <w:t>/</w:t>
            </w:r>
            <w:r>
              <w:rPr>
                <w:rFonts w:hint="eastAsia" w:ascii="楷体" w:hAnsi="楷体" w:eastAsia="楷体" w:cs="楷体"/>
                <w:szCs w:val="21"/>
              </w:rPr>
              <w:t>利用作业指导书、员工职业健康及劳动保护管理规定、应急预案</w:t>
            </w:r>
            <w:r>
              <w:rPr>
                <w:rFonts w:hint="eastAsia" w:ascii="楷体" w:hAnsi="楷体" w:eastAsia="楷体" w:cs="宋体"/>
                <w:szCs w:val="21"/>
              </w:rPr>
              <w:t>等。</w:t>
            </w:r>
          </w:p>
          <w:p>
            <w:pPr>
              <w:rPr>
                <w:rFonts w:hint="eastAsia" w:ascii="楷体" w:hAnsi="楷体" w:eastAsia="楷体" w:cs="楷体"/>
                <w:sz w:val="21"/>
                <w:szCs w:val="21"/>
              </w:rPr>
            </w:pPr>
            <w:r>
              <w:rPr>
                <w:rFonts w:hint="eastAsia" w:ascii="楷体" w:hAnsi="楷体" w:eastAsia="楷体" w:cs="宋体"/>
                <w:sz w:val="21"/>
                <w:szCs w:val="21"/>
              </w:rPr>
              <w:t>一、对噪声达标排放</w:t>
            </w:r>
            <w:r>
              <w:rPr>
                <w:rFonts w:ascii="楷体" w:hAnsi="楷体" w:eastAsia="楷体" w:cs="宋体"/>
                <w:sz w:val="21"/>
                <w:szCs w:val="21"/>
              </w:rPr>
              <w:t xml:space="preserve"> </w:t>
            </w:r>
            <w:r>
              <w:rPr>
                <w:rFonts w:hint="eastAsia" w:ascii="楷体" w:hAnsi="楷体" w:eastAsia="楷体" w:cs="宋体"/>
                <w:sz w:val="21"/>
                <w:szCs w:val="21"/>
                <w:lang w:val="en-US" w:eastAsia="zh-CN"/>
              </w:rPr>
              <w:t>噪声源主要包括</w:t>
            </w:r>
            <w:r>
              <w:rPr>
                <w:rFonts w:hint="eastAsia" w:ascii="楷体" w:hAnsi="楷体" w:eastAsia="楷体" w:cs="楷体"/>
                <w:sz w:val="21"/>
                <w:szCs w:val="21"/>
              </w:rPr>
              <w:t>主要噪声源为切割机、折弯机、焊机、空压机等设备运转及作业噪声。主要通过选用低噪设备，隔音、距离衰减等措施减少对外环境的干扰。</w:t>
            </w:r>
          </w:p>
          <w:p>
            <w:pPr>
              <w:spacing w:line="400" w:lineRule="exact"/>
              <w:rPr>
                <w:rFonts w:ascii="楷体" w:hAnsi="楷体" w:eastAsia="楷体" w:cs="宋体"/>
                <w:sz w:val="21"/>
                <w:szCs w:val="21"/>
              </w:rPr>
            </w:pPr>
            <w:r>
              <w:rPr>
                <w:rFonts w:hint="eastAsia" w:ascii="楷体" w:hAnsi="楷体" w:eastAsia="楷体" w:cs="宋体"/>
                <w:sz w:val="21"/>
                <w:szCs w:val="21"/>
              </w:rPr>
              <w:t>二、对</w:t>
            </w:r>
            <w:r>
              <w:rPr>
                <w:rFonts w:hint="eastAsia" w:ascii="楷体" w:hAnsi="楷体" w:eastAsia="楷体"/>
                <w:sz w:val="21"/>
                <w:szCs w:val="21"/>
              </w:rPr>
              <w:t>固体废弃物分类处置。</w:t>
            </w:r>
            <w:r>
              <w:rPr>
                <w:rFonts w:hint="eastAsia" w:ascii="楷体" w:hAnsi="楷体" w:eastAsia="楷体"/>
                <w:sz w:val="21"/>
                <w:szCs w:val="21"/>
                <w:lang w:val="en-US" w:eastAsia="zh-CN"/>
              </w:rPr>
              <w:t>应按“</w:t>
            </w:r>
            <w:r>
              <w:rPr>
                <w:rFonts w:hint="eastAsia" w:ascii="楷体" w:hAnsi="楷体" w:eastAsia="楷体" w:cs="宋体"/>
                <w:sz w:val="21"/>
                <w:szCs w:val="21"/>
                <w:lang w:val="en-US" w:eastAsia="zh-CN"/>
              </w:rPr>
              <w:t>资源化、减量化、无害化”处置原则，认真落实固废分类收集、处置和综合利用措施。</w:t>
            </w:r>
            <w:r>
              <w:rPr>
                <w:rFonts w:hint="eastAsia" w:ascii="楷体" w:hAnsi="楷体" w:eastAsia="楷体" w:cs="楷体"/>
                <w:sz w:val="21"/>
                <w:szCs w:val="21"/>
              </w:rPr>
              <w:t>固体废物主要来自于员工的生活垃圾、边料、拆下的座椅、污水站污泥等。生活垃圾及污水站污干化后一并由卫生部门统一清运;边料，全部为钢料，殡葬车上拆下来的座椅，全部收集后售给废品收购站</w:t>
            </w:r>
            <w:r>
              <w:rPr>
                <w:rFonts w:hint="eastAsia" w:ascii="楷体" w:hAnsi="楷体" w:eastAsia="楷体" w:cs="宋体"/>
                <w:sz w:val="21"/>
                <w:szCs w:val="21"/>
                <w:lang w:val="en-US" w:eastAsia="zh-CN"/>
              </w:rPr>
              <w:t>。</w:t>
            </w:r>
          </w:p>
          <w:p>
            <w:pPr>
              <w:rPr>
                <w:rFonts w:hint="eastAsia" w:ascii="楷体" w:hAnsi="楷体" w:eastAsia="楷体" w:cs="楷体"/>
                <w:sz w:val="21"/>
                <w:szCs w:val="21"/>
              </w:rPr>
            </w:pPr>
            <w:r>
              <w:rPr>
                <w:rFonts w:hint="eastAsia" w:ascii="楷体" w:hAnsi="楷体" w:eastAsia="楷体" w:cs="宋体"/>
                <w:sz w:val="21"/>
                <w:szCs w:val="21"/>
                <w:lang w:val="en-US" w:eastAsia="zh-CN"/>
              </w:rPr>
              <w:t>三、废水污染防治要求：</w:t>
            </w:r>
            <w:r>
              <w:rPr>
                <w:rFonts w:hint="eastAsia" w:ascii="楷体" w:hAnsi="楷体" w:eastAsia="楷体" w:cs="楷体"/>
                <w:sz w:val="21"/>
                <w:szCs w:val="21"/>
              </w:rPr>
              <w:t>本项目无生产废水，生活污水依托江西广泉钢艺有限公司污水处理设施处</w:t>
            </w:r>
          </w:p>
          <w:p>
            <w:pPr>
              <w:rPr>
                <w:rFonts w:hint="eastAsia" w:ascii="楷体" w:hAnsi="楷体" w:eastAsia="楷体" w:cs="宋体"/>
                <w:sz w:val="21"/>
                <w:szCs w:val="21"/>
                <w:lang w:val="en-US" w:eastAsia="zh-CN"/>
              </w:rPr>
            </w:pPr>
            <w:r>
              <w:rPr>
                <w:rFonts w:hint="eastAsia" w:ascii="楷体" w:hAnsi="楷体" w:eastAsia="楷体" w:cs="楷体"/>
                <w:sz w:val="21"/>
                <w:szCs w:val="21"/>
              </w:rPr>
              <w:t>理，即通过一体化生化处理设施处理后排入园区污水处理厂。</w:t>
            </w:r>
          </w:p>
          <w:p>
            <w:pPr>
              <w:rPr>
                <w:rFonts w:hint="eastAsia" w:ascii="楷体" w:hAnsi="楷体" w:eastAsia="楷体" w:cs="楷体"/>
                <w:sz w:val="21"/>
                <w:szCs w:val="21"/>
              </w:rPr>
            </w:pPr>
            <w:r>
              <w:rPr>
                <w:rFonts w:hint="eastAsia" w:ascii="楷体" w:hAnsi="楷体" w:eastAsia="楷体" w:cs="宋体"/>
                <w:sz w:val="21"/>
                <w:szCs w:val="21"/>
                <w:lang w:val="en-US" w:eastAsia="zh-CN"/>
              </w:rPr>
              <w:t>四、废气污染防治要求：</w:t>
            </w:r>
            <w:r>
              <w:rPr>
                <w:rFonts w:hint="eastAsia" w:ascii="楷体" w:hAnsi="楷体" w:eastAsia="楷体" w:cs="楷体"/>
                <w:sz w:val="21"/>
                <w:szCs w:val="21"/>
              </w:rPr>
              <w:t>本项目采用机器人焊接与超激光焊接，焊接工序有焊接烟尘产生，主要污染</w:t>
            </w:r>
          </w:p>
          <w:p>
            <w:pPr>
              <w:rPr>
                <w:rFonts w:hint="default" w:ascii="楷体" w:hAnsi="楷体" w:eastAsia="楷体" w:cs="宋体"/>
                <w:sz w:val="21"/>
                <w:szCs w:val="21"/>
                <w:lang w:val="en-US" w:eastAsia="zh-CN"/>
              </w:rPr>
            </w:pPr>
            <w:r>
              <w:rPr>
                <w:rFonts w:hint="eastAsia" w:ascii="楷体" w:hAnsi="楷体" w:eastAsia="楷体" w:cs="楷体"/>
                <w:sz w:val="21"/>
                <w:szCs w:val="21"/>
              </w:rPr>
              <w:t>因子有颗粒物，呈间歇性产生和排放，焊接废气通过可移动式焊烟净化器集尘处理后外排。</w:t>
            </w:r>
            <w:r>
              <w:rPr>
                <w:rFonts w:hint="eastAsia" w:ascii="楷体" w:hAnsi="楷体" w:eastAsia="楷体" w:cs="宋体"/>
                <w:sz w:val="21"/>
                <w:szCs w:val="21"/>
                <w:lang w:val="en-US" w:eastAsia="zh-CN"/>
              </w:rPr>
              <w:t>；食堂油烟采用静电油烟净化器处理。</w:t>
            </w:r>
          </w:p>
          <w:p>
            <w:pPr>
              <w:jc w:val="left"/>
              <w:rPr>
                <w:rFonts w:ascii="楷体" w:hAnsi="楷体" w:eastAsia="楷体" w:cs="Arial"/>
                <w:bCs/>
                <w:sz w:val="21"/>
                <w:szCs w:val="21"/>
              </w:rPr>
            </w:pPr>
            <w:r>
              <w:rPr>
                <w:rFonts w:hint="eastAsia" w:ascii="楷体" w:hAnsi="楷体" w:eastAsia="楷体" w:cs="宋体"/>
                <w:sz w:val="21"/>
                <w:szCs w:val="21"/>
              </w:rPr>
              <w:t>提供了《</w:t>
            </w:r>
            <w:r>
              <w:rPr>
                <w:rFonts w:hint="eastAsia" w:ascii="楷体" w:hAnsi="楷体" w:eastAsia="楷体"/>
                <w:bCs/>
                <w:sz w:val="21"/>
                <w:szCs w:val="21"/>
              </w:rPr>
              <w:t>环境目标、指标</w:t>
            </w:r>
            <w:r>
              <w:rPr>
                <w:rFonts w:ascii="楷体" w:hAnsi="楷体" w:eastAsia="楷体"/>
                <w:bCs/>
                <w:sz w:val="21"/>
                <w:szCs w:val="21"/>
              </w:rPr>
              <w:t>/</w:t>
            </w:r>
            <w:r>
              <w:rPr>
                <w:rFonts w:hint="eastAsia" w:ascii="楷体" w:hAnsi="楷体" w:eastAsia="楷体"/>
                <w:bCs/>
                <w:sz w:val="21"/>
                <w:szCs w:val="21"/>
              </w:rPr>
              <w:t>职业健康安全目标与管理方案及实施情况一览表</w:t>
            </w:r>
            <w:r>
              <w:rPr>
                <w:rFonts w:hint="eastAsia" w:ascii="楷体" w:hAnsi="楷体" w:eastAsia="楷体" w:cs="宋体"/>
                <w:sz w:val="21"/>
                <w:szCs w:val="21"/>
              </w:rPr>
              <w:t>》，管理方案内容包括如下：环境安全目标、环境安全指标、管理措施、完成时间、责任部门等内容。具有一定的可操作性。</w:t>
            </w:r>
          </w:p>
          <w:p>
            <w:pPr>
              <w:jc w:val="left"/>
              <w:rPr>
                <w:rFonts w:ascii="楷体" w:hAnsi="楷体" w:eastAsia="楷体" w:cs="Arial"/>
                <w:bCs/>
                <w:sz w:val="21"/>
                <w:szCs w:val="21"/>
              </w:rPr>
            </w:pPr>
            <w:r>
              <w:rPr>
                <w:rFonts w:hint="eastAsia" w:ascii="楷体" w:hAnsi="楷体" w:eastAsia="楷体" w:cs="Arial"/>
                <w:bCs/>
                <w:sz w:val="21"/>
                <w:szCs w:val="21"/>
              </w:rPr>
              <w:t>部门运行控制基本符合规定要求。</w:t>
            </w:r>
          </w:p>
          <w:p>
            <w:pPr>
              <w:spacing w:line="240" w:lineRule="exact"/>
              <w:rPr>
                <w:rFonts w:hint="default"/>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r>
              <w:rPr>
                <w:rFonts w:hint="eastAsia"/>
                <w:color w:val="000000"/>
                <w:sz w:val="20"/>
              </w:rPr>
              <w:t>（见上：</w:t>
            </w:r>
            <w:r>
              <w:rPr>
                <w:color w:val="000000"/>
                <w:sz w:val="20"/>
              </w:rPr>
              <w:t>7 EMS</w:t>
            </w:r>
            <w:r>
              <w:rPr>
                <w:rFonts w:hint="eastAsia"/>
                <w:color w:val="000000"/>
                <w:sz w:val="20"/>
              </w:rPr>
              <w:t>组织对重要环境因素实施控制的结果）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color w:val="000000"/>
                <w:spacing w:val="-4"/>
                <w:sz w:val="20"/>
                <w:szCs w:val="20"/>
              </w:rPr>
              <w:t>编制了火灾</w:t>
            </w:r>
            <w:r>
              <w:rPr>
                <w:rFonts w:hint="eastAsia"/>
                <w:color w:val="000000"/>
                <w:spacing w:val="-4"/>
                <w:sz w:val="20"/>
                <w:szCs w:val="20"/>
                <w:lang w:eastAsia="zh-CN"/>
              </w:rPr>
              <w:t>、</w:t>
            </w:r>
            <w:r>
              <w:rPr>
                <w:rFonts w:hint="eastAsia"/>
                <w:color w:val="000000"/>
                <w:spacing w:val="-4"/>
                <w:sz w:val="20"/>
                <w:szCs w:val="20"/>
                <w:lang w:val="en-US" w:eastAsia="zh-CN"/>
              </w:rPr>
              <w:t>触电、机械伤害</w:t>
            </w:r>
            <w:r>
              <w:rPr>
                <w:rFonts w:hint="eastAsia"/>
                <w:color w:val="000000"/>
                <w:spacing w:val="-4"/>
                <w:sz w:val="20"/>
                <w:szCs w:val="20"/>
              </w:rPr>
              <w:t>应急救援预案，在</w:t>
            </w:r>
            <w:r>
              <w:rPr>
                <w:color w:val="000000"/>
                <w:spacing w:val="-4"/>
                <w:sz w:val="20"/>
                <w:szCs w:val="20"/>
              </w:rPr>
              <w:t>20</w:t>
            </w:r>
            <w:r>
              <w:rPr>
                <w:rFonts w:hint="eastAsia"/>
                <w:color w:val="000000"/>
                <w:spacing w:val="-4"/>
                <w:sz w:val="20"/>
                <w:szCs w:val="20"/>
                <w:lang w:val="en-US" w:eastAsia="zh-CN"/>
              </w:rPr>
              <w:t>20</w:t>
            </w:r>
            <w:r>
              <w:rPr>
                <w:rFonts w:hint="eastAsia"/>
                <w:color w:val="000000"/>
                <w:spacing w:val="-4"/>
                <w:sz w:val="20"/>
                <w:szCs w:val="20"/>
              </w:rPr>
              <w:t>年月日</w:t>
            </w:r>
            <w:r>
              <w:rPr>
                <w:rFonts w:hint="eastAsia"/>
                <w:color w:val="000000"/>
                <w:spacing w:val="-4"/>
                <w:sz w:val="20"/>
                <w:szCs w:val="20"/>
                <w:lang w:val="en-US" w:eastAsia="zh-CN"/>
              </w:rPr>
              <w:t>3</w:t>
            </w:r>
            <w:r>
              <w:rPr>
                <w:rFonts w:hint="eastAsia"/>
                <w:color w:val="000000"/>
                <w:spacing w:val="-4"/>
                <w:sz w:val="20"/>
                <w:szCs w:val="20"/>
              </w:rPr>
              <w:t>月</w:t>
            </w:r>
            <w:r>
              <w:rPr>
                <w:rFonts w:hint="eastAsia"/>
                <w:color w:val="000000"/>
                <w:spacing w:val="-4"/>
                <w:sz w:val="20"/>
                <w:szCs w:val="20"/>
                <w:lang w:val="en-US" w:eastAsia="zh-CN"/>
              </w:rPr>
              <w:t>27</w:t>
            </w:r>
            <w:r>
              <w:rPr>
                <w:rFonts w:hint="eastAsia"/>
                <w:color w:val="000000"/>
                <w:spacing w:val="-4"/>
                <w:sz w:val="20"/>
                <w:szCs w:val="20"/>
              </w:rPr>
              <w:t>日</w:t>
            </w:r>
            <w:r>
              <w:rPr>
                <w:rFonts w:hint="eastAsia"/>
                <w:color w:val="000000"/>
                <w:spacing w:val="-4"/>
                <w:sz w:val="20"/>
                <w:szCs w:val="20"/>
                <w:lang w:eastAsia="zh-CN"/>
              </w:rPr>
              <w:t>、</w:t>
            </w:r>
            <w:r>
              <w:rPr>
                <w:rFonts w:hint="eastAsia"/>
                <w:color w:val="000000"/>
                <w:spacing w:val="-4"/>
                <w:sz w:val="20"/>
                <w:szCs w:val="20"/>
                <w:lang w:val="en-US" w:eastAsia="zh-CN"/>
              </w:rPr>
              <w:t>2020年5月13日、2020年4月21日</w:t>
            </w:r>
            <w:r>
              <w:rPr>
                <w:rFonts w:hint="eastAsia"/>
                <w:color w:val="000000"/>
                <w:spacing w:val="-4"/>
                <w:sz w:val="20"/>
                <w:szCs w:val="20"/>
              </w:rPr>
              <w:t>进行了</w:t>
            </w:r>
            <w:r>
              <w:rPr>
                <w:rFonts w:hint="eastAsia"/>
                <w:color w:val="000000"/>
                <w:spacing w:val="-4"/>
                <w:sz w:val="20"/>
                <w:szCs w:val="20"/>
                <w:lang w:val="en-US" w:eastAsia="zh-CN"/>
              </w:rPr>
              <w:t>触电、机械伤害和</w:t>
            </w:r>
            <w:r>
              <w:rPr>
                <w:rFonts w:hint="eastAsia"/>
                <w:color w:val="000000"/>
                <w:spacing w:val="-4"/>
                <w:sz w:val="20"/>
                <w:szCs w:val="20"/>
              </w:rPr>
              <w:t>火灾</w:t>
            </w:r>
            <w:r>
              <w:rPr>
                <w:rFonts w:hint="eastAsia" w:ascii="宋体" w:hAnsi="宋体"/>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sz w:val="20"/>
                <w:szCs w:val="20"/>
              </w:rPr>
              <w:t>每季度对一体化目标进行定期检查考核，考核部门：行政部、</w:t>
            </w:r>
            <w:r>
              <w:rPr>
                <w:rFonts w:hint="eastAsia"/>
                <w:b/>
                <w:color w:val="000000"/>
                <w:sz w:val="20"/>
                <w:szCs w:val="20"/>
                <w:lang w:val="en-US" w:eastAsia="zh-CN"/>
              </w:rPr>
              <w:t>供应</w:t>
            </w:r>
            <w:r>
              <w:rPr>
                <w:rFonts w:hint="eastAsia"/>
                <w:b/>
                <w:color w:val="000000"/>
                <w:sz w:val="20"/>
                <w:szCs w:val="20"/>
              </w:rPr>
              <w:t>部、销售部、生产部、</w:t>
            </w:r>
            <w:r>
              <w:rPr>
                <w:rFonts w:hint="eastAsia"/>
                <w:b/>
                <w:color w:val="000000"/>
                <w:sz w:val="20"/>
                <w:szCs w:val="20"/>
                <w:lang w:val="en-US" w:eastAsia="zh-CN"/>
              </w:rPr>
              <w:t>技术</w:t>
            </w:r>
            <w:r>
              <w:rPr>
                <w:rFonts w:hint="eastAsia"/>
                <w:b/>
                <w:color w:val="000000"/>
                <w:sz w:val="20"/>
                <w:szCs w:val="20"/>
              </w:rPr>
              <w:t>部</w:t>
            </w:r>
            <w:r>
              <w:rPr>
                <w:rFonts w:hint="eastAsia"/>
                <w:b/>
                <w:color w:val="000000"/>
                <w:sz w:val="20"/>
                <w:szCs w:val="20"/>
                <w:lang w:eastAsia="zh-CN"/>
              </w:rPr>
              <w:t>、</w:t>
            </w:r>
            <w:r>
              <w:rPr>
                <w:rFonts w:hint="eastAsia"/>
                <w:b/>
                <w:color w:val="000000"/>
                <w:sz w:val="20"/>
                <w:szCs w:val="20"/>
                <w:lang w:val="en-US" w:eastAsia="zh-CN"/>
              </w:rPr>
              <w:t>财务部</w:t>
            </w:r>
            <w:r>
              <w:rPr>
                <w:rFonts w:hint="eastAsia"/>
                <w:b/>
                <w:color w:val="000000"/>
                <w:sz w:val="20"/>
                <w:szCs w:val="20"/>
              </w:rPr>
              <w:t>，从检查的情况看，均能完成目标指标。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numPr>
                <w:ilvl w:val="0"/>
                <w:numId w:val="0"/>
              </w:numPr>
              <w:jc w:val="left"/>
              <w:rPr>
                <w:rFonts w:hint="eastAsia"/>
                <w:sz w:val="24"/>
                <w:szCs w:val="24"/>
                <w:lang w:val="en-US" w:eastAsia="zh-CN"/>
              </w:rPr>
            </w:pPr>
            <w:r>
              <w:rPr>
                <w:b/>
                <w:color w:val="000000"/>
                <w:sz w:val="20"/>
                <w:szCs w:val="20"/>
              </w:rPr>
              <w:t>20</w:t>
            </w:r>
            <w:r>
              <w:rPr>
                <w:rFonts w:hint="eastAsia"/>
                <w:b/>
                <w:color w:val="000000"/>
                <w:sz w:val="20"/>
                <w:szCs w:val="20"/>
              </w:rPr>
              <w:t>20年</w:t>
            </w:r>
            <w:r>
              <w:rPr>
                <w:rFonts w:hint="eastAsia"/>
                <w:b/>
                <w:color w:val="000000"/>
                <w:sz w:val="20"/>
                <w:szCs w:val="20"/>
                <w:lang w:val="en-US" w:eastAsia="zh-CN"/>
              </w:rPr>
              <w:t>3</w:t>
            </w:r>
            <w:r>
              <w:rPr>
                <w:rFonts w:hint="eastAsia"/>
                <w:b/>
                <w:color w:val="000000"/>
                <w:sz w:val="20"/>
                <w:szCs w:val="20"/>
              </w:rPr>
              <w:t>月1</w:t>
            </w:r>
            <w:r>
              <w:rPr>
                <w:rFonts w:hint="eastAsia"/>
                <w:b/>
                <w:color w:val="000000"/>
                <w:sz w:val="20"/>
                <w:szCs w:val="20"/>
                <w:lang w:val="en-US" w:eastAsia="zh-CN"/>
              </w:rPr>
              <w:t>8</w:t>
            </w:r>
            <w:r>
              <w:rPr>
                <w:rFonts w:hint="eastAsia"/>
                <w:b/>
                <w:color w:val="000000"/>
                <w:sz w:val="20"/>
                <w:szCs w:val="20"/>
              </w:rPr>
              <w:t>日——</w:t>
            </w:r>
            <w:r>
              <w:rPr>
                <w:rFonts w:hint="eastAsia"/>
                <w:b/>
                <w:color w:val="000000"/>
                <w:sz w:val="20"/>
                <w:szCs w:val="20"/>
                <w:lang w:val="en-US" w:eastAsia="zh-CN"/>
              </w:rPr>
              <w:t>3月19日</w:t>
            </w:r>
            <w:r>
              <w:rPr>
                <w:rFonts w:hint="eastAsia"/>
                <w:b/>
                <w:color w:val="000000"/>
                <w:sz w:val="20"/>
                <w:szCs w:val="20"/>
              </w:rPr>
              <w:t>共发出顾客满意度调查表</w:t>
            </w:r>
            <w:r>
              <w:rPr>
                <w:rFonts w:hint="eastAsia"/>
                <w:b/>
                <w:color w:val="000000"/>
                <w:sz w:val="20"/>
                <w:szCs w:val="20"/>
                <w:lang w:val="en-US" w:eastAsia="zh-CN"/>
              </w:rPr>
              <w:t>2</w:t>
            </w:r>
            <w:r>
              <w:rPr>
                <w:rFonts w:hint="eastAsia"/>
                <w:b/>
                <w:color w:val="000000"/>
                <w:sz w:val="20"/>
                <w:szCs w:val="20"/>
              </w:rPr>
              <w:t>份，回收</w:t>
            </w:r>
            <w:r>
              <w:rPr>
                <w:rFonts w:hint="eastAsia"/>
                <w:b/>
                <w:color w:val="000000"/>
                <w:sz w:val="20"/>
                <w:szCs w:val="20"/>
                <w:lang w:val="en-US" w:eastAsia="zh-CN"/>
              </w:rPr>
              <w:t>2</w:t>
            </w:r>
            <w:r>
              <w:rPr>
                <w:rFonts w:hint="eastAsia"/>
                <w:b/>
                <w:color w:val="000000"/>
                <w:sz w:val="20"/>
                <w:szCs w:val="20"/>
              </w:rPr>
              <w:t>份，顾客名称：</w:t>
            </w:r>
            <w:r>
              <w:rPr>
                <w:rFonts w:hint="eastAsia"/>
                <w:b/>
                <w:bCs/>
                <w:sz w:val="21"/>
                <w:szCs w:val="21"/>
                <w:lang w:val="en-US" w:eastAsia="zh-CN"/>
              </w:rPr>
              <w:t>邹志兵</w:t>
            </w:r>
            <w:r>
              <w:rPr>
                <w:rFonts w:hint="eastAsia"/>
                <w:b/>
                <w:bCs/>
                <w:sz w:val="21"/>
                <w:szCs w:val="21"/>
                <w:lang w:eastAsia="zh-CN"/>
              </w:rPr>
              <w:t>、</w:t>
            </w:r>
            <w:r>
              <w:rPr>
                <w:rFonts w:hint="eastAsia"/>
                <w:b/>
                <w:bCs/>
                <w:sz w:val="21"/>
                <w:szCs w:val="21"/>
                <w:lang w:val="en-US" w:eastAsia="zh-CN"/>
              </w:rPr>
              <w:t>黄波</w:t>
            </w:r>
          </w:p>
          <w:p>
            <w:pPr>
              <w:spacing w:line="240" w:lineRule="exact"/>
              <w:ind w:left="100" w:hanging="105" w:hangingChars="50"/>
              <w:rPr>
                <w:b/>
                <w:color w:val="000000" w:themeColor="text1"/>
                <w:sz w:val="20"/>
                <w:szCs w:val="20"/>
              </w:rPr>
            </w:pPr>
            <w:r>
              <w:rPr>
                <w:rFonts w:hint="eastAsia"/>
                <w:b/>
                <w:bCs/>
                <w:sz w:val="21"/>
                <w:szCs w:val="21"/>
              </w:rPr>
              <w:t>等</w:t>
            </w:r>
            <w:r>
              <w:rPr>
                <w:rFonts w:hint="eastAsia"/>
                <w:b/>
                <w:color w:val="000000"/>
                <w:szCs w:val="21"/>
              </w:rPr>
              <w:t>，得分为97分。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b/>
                <w:szCs w:val="21"/>
              </w:rPr>
            </w:pPr>
            <w:r>
              <w:rPr>
                <w:rFonts w:hint="eastAsia" w:ascii="宋体" w:hAnsi="宋体"/>
                <w:b/>
                <w:szCs w:val="21"/>
              </w:rPr>
              <w:t>对三废进行了监视和测量，结果符合要求。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300" w:lineRule="exact"/>
              <w:rPr>
                <w:rFonts w:ascii="宋体"/>
                <w:b/>
                <w:szCs w:val="21"/>
              </w:rPr>
            </w:pPr>
            <w:r>
              <w:rPr>
                <w:rFonts w:hint="eastAsia" w:ascii="宋体"/>
                <w:b/>
                <w:szCs w:val="21"/>
              </w:rPr>
              <w:t>无需进行定期测量。</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spacing w:val="-20"/>
                <w:sz w:val="20"/>
                <w:szCs w:val="20"/>
              </w:rPr>
              <w:t>已经整改完结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 xml:space="preserve">4.创新情况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严重不符合0项，一般不符合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spacing w:val="-10"/>
                <w:szCs w:val="21"/>
              </w:rPr>
              <w:t>■</w:t>
            </w:r>
            <w:r>
              <w:rPr>
                <w:rFonts w:hint="eastAsia"/>
                <w:b/>
                <w:color w:val="000000" w:themeColor="text1"/>
                <w:sz w:val="22"/>
                <w:szCs w:val="22"/>
              </w:rPr>
              <w:t>QMS</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spacing w:val="-10"/>
                <w:szCs w:val="21"/>
              </w:rPr>
              <w:t>■</w:t>
            </w:r>
            <w:r>
              <w:rPr>
                <w:rFonts w:hint="eastAsia"/>
                <w:b/>
                <w:color w:val="000000" w:themeColor="text1"/>
                <w:sz w:val="22"/>
                <w:szCs w:val="22"/>
              </w:rPr>
              <w:t xml:space="preserve">QMS  </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spacing w:val="-10"/>
                <w:szCs w:val="21"/>
              </w:rPr>
              <w:t>■</w:t>
            </w:r>
            <w:r>
              <w:rPr>
                <w:rFonts w:hint="eastAsia"/>
                <w:b/>
                <w:color w:val="000000" w:themeColor="text1"/>
                <w:szCs w:val="21"/>
              </w:rPr>
              <w:t xml:space="preserve">QMS  </w:t>
            </w:r>
            <w:r>
              <w:rPr>
                <w:rFonts w:hint="eastAsia"/>
                <w:b/>
                <w:color w:val="000000"/>
                <w:spacing w:val="-10"/>
                <w:szCs w:val="21"/>
              </w:rPr>
              <w:t>■</w:t>
            </w:r>
            <w:r>
              <w:rPr>
                <w:rFonts w:hint="eastAsia"/>
                <w:b/>
                <w:color w:val="000000" w:themeColor="text1"/>
                <w:szCs w:val="21"/>
              </w:rPr>
              <w:t xml:space="preserve">EMS   </w:t>
            </w:r>
            <w:r>
              <w:rPr>
                <w:rFonts w:hint="eastAsia"/>
                <w:b/>
                <w:color w:val="000000"/>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bookmarkStart w:id="22" w:name="_GoBack"/>
      <w:r>
        <w:rPr>
          <w:rFonts w:hint="eastAsia" w:ascii="方正仿宋简体" w:eastAsia="方正仿宋简体"/>
          <w:b/>
          <w:color w:val="000000" w:themeColor="text1"/>
        </w:rPr>
        <w:drawing>
          <wp:anchor distT="0" distB="0" distL="114300" distR="114300" simplePos="0" relativeHeight="251792384" behindDoc="0" locked="0" layoutInCell="1" allowOverlap="1">
            <wp:simplePos x="0" y="0"/>
            <wp:positionH relativeFrom="column">
              <wp:posOffset>-1000125</wp:posOffset>
            </wp:positionH>
            <wp:positionV relativeFrom="paragraph">
              <wp:posOffset>-49530</wp:posOffset>
            </wp:positionV>
            <wp:extent cx="5939790" cy="8954135"/>
            <wp:effectExtent l="0" t="0" r="3810" b="12065"/>
            <wp:wrapNone/>
            <wp:docPr id="3" name="图片 3" descr="新文档 2020-05-21 11.29.0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5-21 11.29.08_18"/>
                    <pic:cNvPicPr>
                      <a:picLocks noChangeAspect="1"/>
                    </pic:cNvPicPr>
                  </pic:nvPicPr>
                  <pic:blipFill>
                    <a:blip r:embed="rId6"/>
                    <a:stretch>
                      <a:fillRect/>
                    </a:stretch>
                  </pic:blipFill>
                  <pic:spPr>
                    <a:xfrm>
                      <a:off x="0" y="0"/>
                      <a:ext cx="5939790" cy="8954135"/>
                    </a:xfrm>
                    <a:prstGeom prst="rect">
                      <a:avLst/>
                    </a:prstGeom>
                  </pic:spPr>
                </pic:pic>
              </a:graphicData>
            </a:graphic>
          </wp:anchor>
        </w:drawing>
      </w:r>
      <w:bookmarkEnd w:id="22"/>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spacing w:val="-10"/>
          <w:szCs w:val="21"/>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spacing w:val="-10"/>
          <w:szCs w:val="21"/>
        </w:rPr>
        <w:t>■</w:t>
      </w:r>
      <w:r>
        <w:rPr>
          <w:rFonts w:hint="eastAsia"/>
          <w:b/>
          <w:color w:val="000000" w:themeColor="text1"/>
          <w:szCs w:val="21"/>
        </w:rPr>
        <w:t>OHSMS(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0" w:firstLineChars="400"/>
        <w:rPr>
          <w:b/>
          <w:color w:val="000000" w:themeColor="text1"/>
          <w:szCs w:val="21"/>
        </w:rPr>
      </w:pPr>
      <w:r>
        <w:rPr>
          <w:rFonts w:hint="eastAsia" w:ascii="MS Mincho" w:hAnsi="MS Mincho" w:eastAsia="MS Mincho" w:cs="MS Mincho"/>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年 </w:t>
      </w:r>
      <w:r>
        <w:rPr>
          <w:rFonts w:hint="eastAsia"/>
          <w:b/>
          <w:color w:val="000000" w:themeColor="text1"/>
          <w:szCs w:val="21"/>
          <w:lang w:val="en-US" w:eastAsia="zh-CN"/>
        </w:rPr>
        <w:t xml:space="preserve">  </w:t>
      </w:r>
      <w:r>
        <w:rPr>
          <w:rFonts w:hint="eastAsia"/>
          <w:b/>
          <w:color w:val="000000" w:themeColor="text1"/>
          <w:szCs w:val="21"/>
        </w:rPr>
        <w:t xml:space="preserve"> 月 </w:t>
      </w:r>
      <w:r>
        <w:rPr>
          <w:rFonts w:hint="eastAsia"/>
          <w:b/>
          <w:color w:val="000000" w:themeColor="text1"/>
          <w:szCs w:val="21"/>
          <w:lang w:val="en-US" w:eastAsia="zh-CN"/>
        </w:rPr>
        <w:t xml:space="preserve">  </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numPr>
          <w:ilvl w:val="0"/>
          <w:numId w:val="9"/>
        </w:numPr>
        <w:snapToGrid w:val="0"/>
        <w:spacing w:line="360" w:lineRule="auto"/>
        <w:ind w:left="202" w:leftChars="-405" w:hanging="1052" w:hangingChars="403"/>
        <w:rPr>
          <w:rFonts w:hint="eastAsia"/>
          <w:b/>
          <w:color w:val="000000" w:themeColor="text1"/>
          <w:szCs w:val="21"/>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9"/>
        </w:numPr>
        <w:snapToGrid w:val="0"/>
        <w:spacing w:line="360" w:lineRule="auto"/>
        <w:ind w:left="202" w:leftChars="-405" w:hanging="1052" w:hangingChars="403"/>
        <w:rPr>
          <w:b/>
          <w:color w:val="000000" w:themeColor="text1"/>
          <w:sz w:val="26"/>
          <w:szCs w:val="26"/>
        </w:rPr>
      </w:pP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HAAPML+ºÚÌå">
    <w:altName w:val="微软雅黑"/>
    <w:panose1 w:val="00000000000000000000"/>
    <w:charset w:val="01"/>
    <w:family w:val="auto"/>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17817755"/>
    <w:multiLevelType w:val="singleLevel"/>
    <w:tmpl w:val="17817755"/>
    <w:lvl w:ilvl="0" w:tentative="0">
      <w:start w:val="17"/>
      <w:numFmt w:val="chineseCounting"/>
      <w:suff w:val="nothing"/>
      <w:lvlText w:val="%1、"/>
      <w:lvlJc w:val="left"/>
      <w:rPr>
        <w:rFonts w:hint="eastAsia"/>
      </w:rPr>
    </w:lvl>
  </w:abstractNum>
  <w:abstractNum w:abstractNumId="3">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5A3EE9"/>
    <w:rsid w:val="21502407"/>
    <w:rsid w:val="2B183FB9"/>
    <w:rsid w:val="3943071A"/>
    <w:rsid w:val="3F035BE9"/>
    <w:rsid w:val="64A2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6"/>
    <customShpInfo spid="_x0000_s2055"/>
    <customShpInfo spid="_x0000_s2054"/>
    <customShpInfo spid="_x0000_s2053"/>
    <customShpInfo spid="_x0000_s2057"/>
    <customShpInfo spid="_x0000_s2058"/>
    <customShpInfo spid="_x0000_s2059"/>
    <customShpInfo spid="_x0000_s2060"/>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小小</cp:lastModifiedBy>
  <cp:lastPrinted>2019-05-13T03:19:00Z</cp:lastPrinted>
  <dcterms:modified xsi:type="dcterms:W3CDTF">2020-05-21T13:48:32Z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