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41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吉江环保产业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3590535645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吉江环保产业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两江新区复兴街道悦康路6号1幢3单元6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两江新区复兴街道悦康路6号1幢3单元6-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环境污染治理、市政公用工程施工总承包、环保工程专业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环境污染治理、市政公用工程施工总承包、环保工程专业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环境污染治理、市政公用工程施工总承包、环保工程专业承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吉江环保产业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两江新区复兴街道悦康路6号1幢3单元6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两江新区复兴街道悦康路6号1幢3单元6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环境污染治理、市政公用工程施工总承包、环保工程专业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环境污染治理、市政公用工程施工总承包、环保工程专业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环境污染治理、市政公用工程施工总承包、环保工程专业承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