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right="420"/>
        <w:jc w:val="right"/>
        <w:rPr>
          <w:rFonts w:hint="eastAsia" w:ascii="宋体" w:hAnsi="宋体"/>
          <w:szCs w:val="21"/>
        </w:rPr>
      </w:pPr>
      <w:r>
        <w:rPr>
          <w:rFonts w:ascii="宋体" w:hAnsi="宋体"/>
          <w:szCs w:val="21"/>
        </w:rPr>
        <w:t>编号：</w:t>
      </w:r>
      <w:bookmarkStart w:id="0" w:name="合同编号"/>
      <w:r>
        <w:rPr>
          <w:rFonts w:hint="eastAsia" w:ascii="宋体" w:hAnsi="宋体"/>
          <w:szCs w:val="21"/>
          <w:u w:val="single"/>
        </w:rPr>
        <w:t>0081-2020</w:t>
      </w:r>
      <w:bookmarkEnd w:id="0"/>
    </w:p>
    <w:p>
      <w:pPr>
        <w:jc w:val="center"/>
        <w:rPr>
          <w:rFonts w:hint="eastAsia" w:ascii="宋体" w:hAnsi="宋体"/>
          <w:b/>
          <w:color w:val="000000"/>
          <w:sz w:val="30"/>
          <w:szCs w:val="30"/>
        </w:rPr>
      </w:pPr>
      <w:r>
        <w:rPr>
          <w:rFonts w:hint="eastAsia"/>
          <w:b/>
          <w:color w:val="000000"/>
          <w:sz w:val="30"/>
          <w:szCs w:val="30"/>
        </w:rPr>
        <w:t>审核员</w:t>
      </w:r>
      <w:r>
        <w:rPr>
          <w:rFonts w:hint="eastAsia" w:ascii="宋体" w:hAnsi="宋体"/>
          <w:b/>
          <w:color w:val="000000"/>
          <w:sz w:val="30"/>
          <w:szCs w:val="30"/>
        </w:rPr>
        <w:t>现场审核记录</w:t>
      </w:r>
    </w:p>
    <w:p>
      <w:pPr>
        <w:spacing w:line="500" w:lineRule="exact"/>
        <w:rPr>
          <w:rFonts w:hint="default" w:eastAsia="宋体"/>
          <w:sz w:val="21"/>
          <w:szCs w:val="21"/>
          <w:lang w:val="en-US" w:eastAsia="zh-CN"/>
        </w:rPr>
      </w:pPr>
      <w:r>
        <w:rPr>
          <w:rFonts w:hint="eastAsia"/>
          <w:sz w:val="21"/>
          <w:szCs w:val="21"/>
        </w:rPr>
        <w:t>企业名称：</w:t>
      </w:r>
      <w:r>
        <w:rPr>
          <w:rFonts w:hint="eastAsia" w:ascii="宋体" w:hAnsi="宋体"/>
          <w:sz w:val="21"/>
          <w:szCs w:val="21"/>
          <w:u w:val="single"/>
        </w:rPr>
        <w:t xml:space="preserve"> 陕西丰盛德远实业有限公司  </w:t>
      </w:r>
    </w:p>
    <w:p>
      <w:pPr>
        <w:spacing w:line="500" w:lineRule="exact"/>
        <w:rPr>
          <w:rFonts w:hint="eastAsia"/>
          <w:szCs w:val="21"/>
        </w:rPr>
      </w:pPr>
      <w:r>
        <w:rPr>
          <w:rFonts w:hint="eastAsia" w:ascii="宋体" w:hAnsi="宋体"/>
          <w:sz w:val="21"/>
          <w:szCs w:val="21"/>
          <w:u w:val="none"/>
        </w:rPr>
        <w:t>审核员：</w:t>
      </w:r>
      <w:r>
        <w:rPr>
          <w:rFonts w:hint="eastAsia" w:ascii="宋体" w:hAnsi="宋体"/>
          <w:sz w:val="21"/>
          <w:szCs w:val="21"/>
          <w:u w:val="single"/>
        </w:rPr>
        <w:t xml:space="preserve">袁秀英 </w:t>
      </w:r>
      <w:r>
        <w:rPr>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u w:val="none"/>
          <w:lang w:val="en-US" w:eastAsia="zh-CN"/>
        </w:rPr>
        <w:t xml:space="preserve"> </w:t>
      </w:r>
      <w:r>
        <w:rPr>
          <w:rFonts w:hint="eastAsia" w:ascii="宋体" w:hAnsi="宋体"/>
          <w:sz w:val="21"/>
          <w:szCs w:val="21"/>
          <w:u w:val="none"/>
          <w:lang w:val="en-US" w:eastAsia="zh-CN"/>
        </w:rPr>
        <w:t xml:space="preserve">  </w:t>
      </w:r>
      <w:r>
        <w:rPr>
          <w:rFonts w:hint="eastAsia" w:ascii="宋体" w:hAnsi="宋体"/>
          <w:sz w:val="21"/>
          <w:szCs w:val="21"/>
          <w:u w:val="none"/>
        </w:rPr>
        <w:t xml:space="preserve">审核日期： </w:t>
      </w:r>
      <w:bookmarkStart w:id="1" w:name="审核日期"/>
      <w:r>
        <w:rPr>
          <w:rFonts w:hint="eastAsia" w:ascii="宋体" w:hAnsi="宋体"/>
          <w:sz w:val="21"/>
          <w:szCs w:val="21"/>
          <w:u w:val="none"/>
        </w:rPr>
        <w:t>2020年05月07</w:t>
      </w:r>
      <w:r>
        <w:rPr>
          <w:rFonts w:hint="eastAsia" w:ascii="宋体" w:hAnsi="宋体"/>
          <w:sz w:val="21"/>
          <w:szCs w:val="21"/>
          <w:u w:val="none"/>
          <w:lang w:val="en-US" w:eastAsia="zh-CN"/>
        </w:rPr>
        <w:t>—08</w:t>
      </w:r>
      <w:r>
        <w:rPr>
          <w:rFonts w:hint="eastAsia" w:ascii="宋体" w:hAnsi="宋体"/>
          <w:sz w:val="21"/>
          <w:szCs w:val="21"/>
          <w:u w:val="none"/>
        </w:rPr>
        <w:t>日</w:t>
      </w:r>
      <w:r>
        <w:rPr>
          <w:rFonts w:hint="eastAsia"/>
          <w:sz w:val="24"/>
          <w:szCs w:val="24"/>
          <w:u w:val="none"/>
        </w:rPr>
        <w:t xml:space="preserve"> </w:t>
      </w:r>
      <w:bookmarkEnd w:id="1"/>
    </w:p>
    <w:tbl>
      <w:tblPr>
        <w:tblStyle w:val="7"/>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2073"/>
        <w:gridCol w:w="1045"/>
        <w:gridCol w:w="4320"/>
        <w:gridCol w:w="1130"/>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13" w:type="dxa"/>
            <w:noWrap w:val="0"/>
            <w:vAlign w:val="center"/>
          </w:tcPr>
          <w:p>
            <w:pPr>
              <w:spacing w:line="320" w:lineRule="exact"/>
              <w:jc w:val="center"/>
              <w:rPr>
                <w:rFonts w:hint="eastAsia"/>
                <w:szCs w:val="21"/>
              </w:rPr>
            </w:pPr>
            <w:r>
              <w:rPr>
                <w:rFonts w:hint="eastAsia"/>
                <w:szCs w:val="21"/>
              </w:rPr>
              <w:t>序号</w:t>
            </w:r>
          </w:p>
        </w:tc>
        <w:tc>
          <w:tcPr>
            <w:tcW w:w="2073" w:type="dxa"/>
            <w:noWrap w:val="0"/>
            <w:vAlign w:val="center"/>
          </w:tcPr>
          <w:p>
            <w:pPr>
              <w:spacing w:line="320" w:lineRule="exact"/>
              <w:jc w:val="center"/>
              <w:rPr>
                <w:rFonts w:hint="eastAsia" w:ascii="宋体" w:hAnsi="宋体"/>
                <w:szCs w:val="21"/>
              </w:rPr>
            </w:pPr>
            <w:r>
              <w:rPr>
                <w:rFonts w:hint="eastAsia"/>
                <w:szCs w:val="21"/>
              </w:rPr>
              <w:t>审核</w:t>
            </w:r>
            <w:r>
              <w:rPr>
                <w:rFonts w:hint="eastAsia" w:ascii="宋体" w:hAnsi="宋体"/>
                <w:szCs w:val="21"/>
              </w:rPr>
              <w:t>内容</w:t>
            </w:r>
          </w:p>
          <w:p>
            <w:pPr>
              <w:spacing w:line="320" w:lineRule="exact"/>
              <w:jc w:val="center"/>
              <w:rPr>
                <w:rFonts w:ascii="宋体" w:hAnsi="宋体"/>
                <w:szCs w:val="21"/>
              </w:rPr>
            </w:pPr>
            <w:r>
              <w:rPr>
                <w:rFonts w:hint="eastAsia" w:ascii="宋体" w:hAnsi="宋体"/>
                <w:szCs w:val="21"/>
              </w:rPr>
              <w:t>及抽样要求</w:t>
            </w:r>
          </w:p>
        </w:tc>
        <w:tc>
          <w:tcPr>
            <w:tcW w:w="1045" w:type="dxa"/>
            <w:noWrap w:val="0"/>
            <w:vAlign w:val="center"/>
          </w:tcPr>
          <w:p>
            <w:pPr>
              <w:jc w:val="center"/>
              <w:rPr>
                <w:rFonts w:hint="eastAsia" w:ascii="宋体" w:hAnsi="宋体"/>
                <w:szCs w:val="21"/>
              </w:rPr>
            </w:pPr>
            <w:r>
              <w:rPr>
                <w:rFonts w:hint="eastAsia" w:ascii="宋体" w:hAnsi="宋体"/>
                <w:szCs w:val="21"/>
              </w:rPr>
              <w:t>对应的</w:t>
            </w:r>
          </w:p>
          <w:p>
            <w:pPr>
              <w:jc w:val="center"/>
              <w:rPr>
                <w:rFonts w:hint="eastAsia" w:ascii="宋体" w:hAnsi="宋体"/>
                <w:szCs w:val="21"/>
              </w:rPr>
            </w:pPr>
            <w:r>
              <w:rPr>
                <w:rFonts w:hint="eastAsia" w:ascii="宋体" w:hAnsi="宋体"/>
                <w:szCs w:val="21"/>
              </w:rPr>
              <w:t>标准条款</w:t>
            </w:r>
          </w:p>
        </w:tc>
        <w:tc>
          <w:tcPr>
            <w:tcW w:w="4320" w:type="dxa"/>
            <w:noWrap w:val="0"/>
            <w:vAlign w:val="center"/>
          </w:tcPr>
          <w:p>
            <w:pPr>
              <w:ind w:firstLine="630" w:firstLineChars="300"/>
              <w:jc w:val="center"/>
              <w:rPr>
                <w:rFonts w:hint="eastAsia" w:ascii="宋体" w:hAnsi="宋体"/>
                <w:szCs w:val="21"/>
              </w:rPr>
            </w:pPr>
            <w:r>
              <w:rPr>
                <w:rFonts w:hint="eastAsia" w:ascii="宋体" w:hAnsi="宋体"/>
                <w:szCs w:val="21"/>
              </w:rPr>
              <w:t>审核记录及说明</w:t>
            </w:r>
          </w:p>
        </w:tc>
        <w:tc>
          <w:tcPr>
            <w:tcW w:w="1130" w:type="dxa"/>
            <w:noWrap w:val="0"/>
            <w:vAlign w:val="center"/>
          </w:tcPr>
          <w:p>
            <w:pPr>
              <w:jc w:val="center"/>
              <w:rPr>
                <w:rFonts w:hint="eastAsia" w:ascii="宋体" w:hAnsi="宋体"/>
                <w:szCs w:val="21"/>
              </w:rPr>
            </w:pPr>
            <w:r>
              <w:rPr>
                <w:rFonts w:hint="eastAsia"/>
                <w:szCs w:val="21"/>
              </w:rPr>
              <w:t>审核部门</w:t>
            </w:r>
          </w:p>
        </w:tc>
        <w:tc>
          <w:tcPr>
            <w:tcW w:w="1092" w:type="dxa"/>
            <w:noWrap w:val="0"/>
            <w:vAlign w:val="center"/>
          </w:tcPr>
          <w:p>
            <w:pPr>
              <w:jc w:val="center"/>
              <w:rPr>
                <w:rFonts w:hint="eastAsia" w:ascii="宋体" w:hAnsi="宋体"/>
                <w:szCs w:val="21"/>
              </w:rPr>
            </w:pPr>
            <w:r>
              <w:rPr>
                <w:rFonts w:hint="eastAsia" w:ascii="宋体" w:hAnsi="宋体"/>
                <w:szCs w:val="21"/>
              </w:rPr>
              <w:t>是否列入</w:t>
            </w:r>
          </w:p>
          <w:p>
            <w:pPr>
              <w:jc w:val="center"/>
              <w:rPr>
                <w:rFonts w:hint="eastAsia"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13" w:type="dxa"/>
            <w:noWrap w:val="0"/>
            <w:vAlign w:val="center"/>
          </w:tcPr>
          <w:p>
            <w:pPr>
              <w:spacing w:line="320" w:lineRule="exact"/>
              <w:jc w:val="center"/>
              <w:rPr>
                <w:rFonts w:hint="eastAsia" w:ascii="宋体" w:hAnsi="宋体"/>
                <w:szCs w:val="21"/>
              </w:rPr>
            </w:pPr>
            <w:r>
              <w:rPr>
                <w:rFonts w:hint="eastAsia" w:ascii="宋体" w:hAnsi="宋体"/>
                <w:szCs w:val="21"/>
              </w:rPr>
              <w:t>1</w:t>
            </w:r>
          </w:p>
        </w:tc>
        <w:tc>
          <w:tcPr>
            <w:tcW w:w="2073" w:type="dxa"/>
            <w:noWrap w:val="0"/>
            <w:vAlign w:val="center"/>
          </w:tcPr>
          <w:p>
            <w:pPr>
              <w:snapToGrid w:val="0"/>
              <w:spacing w:line="288" w:lineRule="auto"/>
              <w:rPr>
                <w:rFonts w:hint="eastAsia" w:ascii="宋体" w:hAnsi="宋体"/>
                <w:bCs/>
                <w:color w:val="000000"/>
                <w:sz w:val="18"/>
                <w:szCs w:val="18"/>
              </w:rPr>
            </w:pPr>
            <w:r>
              <w:rPr>
                <w:rFonts w:hint="eastAsia" w:ascii="宋体" w:hAnsi="宋体"/>
                <w:bCs/>
                <w:color w:val="000000"/>
                <w:sz w:val="18"/>
                <w:szCs w:val="18"/>
              </w:rPr>
              <w:t>是否针对客户/产品的要求识别对测量设备和测量过程的计量要求？是否考虑到不符合计量要求时可能会带来的风险？检查有关记录。</w:t>
            </w:r>
          </w:p>
          <w:p>
            <w:pPr>
              <w:snapToGrid w:val="0"/>
              <w:spacing w:line="288" w:lineRule="auto"/>
              <w:rPr>
                <w:rFonts w:hint="eastAsia" w:ascii="宋体" w:hAnsi="宋体"/>
                <w:bCs/>
                <w:color w:val="000000"/>
                <w:sz w:val="18"/>
                <w:szCs w:val="18"/>
              </w:rPr>
            </w:pPr>
            <w:r>
              <w:rPr>
                <w:rFonts w:hint="eastAsia" w:ascii="宋体" w:hAnsi="宋体"/>
                <w:bCs/>
                <w:color w:val="000000"/>
                <w:sz w:val="18"/>
                <w:szCs w:val="18"/>
              </w:rPr>
              <w:t>抽查1~2个工艺要求对应的计量要求识别记录，识别方法是否正确。</w:t>
            </w:r>
          </w:p>
        </w:tc>
        <w:tc>
          <w:tcPr>
            <w:tcW w:w="1045" w:type="dxa"/>
            <w:noWrap w:val="0"/>
            <w:vAlign w:val="center"/>
          </w:tcPr>
          <w:p>
            <w:pPr>
              <w:jc w:val="center"/>
              <w:rPr>
                <w:rFonts w:hint="eastAsia" w:ascii="宋体" w:hAnsi="宋体"/>
                <w:sz w:val="18"/>
                <w:szCs w:val="18"/>
                <w:lang w:val="en-US" w:eastAsia="zh-CN"/>
              </w:rPr>
            </w:pPr>
            <w:r>
              <w:rPr>
                <w:rFonts w:hint="eastAsia" w:ascii="宋体" w:hAnsi="宋体"/>
                <w:sz w:val="18"/>
                <w:szCs w:val="18"/>
              </w:rPr>
              <w:t>4</w:t>
            </w:r>
            <w:r>
              <w:rPr>
                <w:rFonts w:hint="eastAsia" w:ascii="宋体" w:hAnsi="宋体"/>
                <w:sz w:val="18"/>
                <w:szCs w:val="18"/>
                <w:lang w:val="en-US" w:eastAsia="zh-CN"/>
              </w:rPr>
              <w:t>、5、6.1、</w:t>
            </w:r>
          </w:p>
          <w:p>
            <w:pPr>
              <w:jc w:val="center"/>
              <w:rPr>
                <w:rFonts w:hint="default" w:ascii="宋体" w:hAnsi="宋体" w:eastAsia="宋体"/>
                <w:sz w:val="18"/>
                <w:szCs w:val="18"/>
                <w:lang w:val="en-US" w:eastAsia="zh-CN"/>
              </w:rPr>
            </w:pPr>
            <w:r>
              <w:rPr>
                <w:rFonts w:hint="eastAsia" w:ascii="宋体" w:hAnsi="宋体"/>
                <w:sz w:val="18"/>
                <w:szCs w:val="18"/>
                <w:lang w:val="en-US" w:eastAsia="zh-CN"/>
              </w:rPr>
              <w:t>8.1、8.4</w:t>
            </w:r>
          </w:p>
          <w:p>
            <w:pPr>
              <w:jc w:val="both"/>
              <w:rPr>
                <w:rFonts w:hint="eastAsia" w:ascii="宋体" w:hAnsi="宋体" w:eastAsia="宋体"/>
                <w:sz w:val="18"/>
                <w:szCs w:val="18"/>
                <w:lang w:val="en-US" w:eastAsia="zh-CN"/>
              </w:rPr>
            </w:pPr>
          </w:p>
        </w:tc>
        <w:tc>
          <w:tcPr>
            <w:tcW w:w="4320" w:type="dxa"/>
            <w:noWrap w:val="0"/>
            <w:vAlign w:val="center"/>
          </w:tcPr>
          <w:p>
            <w:pPr>
              <w:spacing w:line="360" w:lineRule="auto"/>
              <w:ind w:firstLine="360" w:firstLineChars="200"/>
              <w:jc w:val="left"/>
              <w:rPr>
                <w:rFonts w:hint="default" w:ascii="宋体" w:hAnsi="宋体" w:eastAsia="宋体" w:cs="宋体"/>
                <w:bCs/>
                <w:color w:val="000000"/>
                <w:kern w:val="0"/>
                <w:sz w:val="18"/>
                <w:szCs w:val="18"/>
                <w:lang w:val="en-US" w:eastAsia="zh-CN"/>
              </w:rPr>
            </w:pPr>
            <w:r>
              <w:rPr>
                <w:rFonts w:hint="eastAsia" w:ascii="宋体" w:hAnsi="宋体" w:cs="宋体"/>
                <w:color w:val="000000"/>
                <w:kern w:val="0"/>
                <w:sz w:val="18"/>
                <w:szCs w:val="18"/>
              </w:rPr>
              <w:t>已确定测量管理体系的范围和内容。确定了公司的测量设备台帐，并已识别公司的测量过程。公司已制定《计量</w:t>
            </w:r>
            <w:r>
              <w:rPr>
                <w:rFonts w:hint="eastAsia" w:ascii="宋体" w:hAnsi="宋体" w:cs="宋体"/>
                <w:color w:val="000000"/>
                <w:kern w:val="0"/>
                <w:sz w:val="18"/>
                <w:szCs w:val="18"/>
                <w:lang w:eastAsia="zh-CN"/>
              </w:rPr>
              <w:t>确认</w:t>
            </w:r>
            <w:r>
              <w:rPr>
                <w:rFonts w:hint="eastAsia" w:ascii="宋体" w:hAnsi="宋体" w:cs="宋体"/>
                <w:color w:val="000000"/>
                <w:kern w:val="0"/>
                <w:sz w:val="18"/>
                <w:szCs w:val="18"/>
              </w:rPr>
              <w:t>控制程序》，规定了对顾客计量要求的识别和导出的方法，企业给予职能部门管理和协调的权力。</w:t>
            </w:r>
            <w:r>
              <w:rPr>
                <w:rFonts w:hint="eastAsia" w:ascii="宋体" w:hAnsi="宋体" w:cs="宋体"/>
                <w:color w:val="000000"/>
                <w:kern w:val="0"/>
                <w:sz w:val="18"/>
                <w:szCs w:val="18"/>
                <w:lang w:eastAsia="zh-CN"/>
              </w:rPr>
              <w:t>公司总经理周明宇、管代/办公室主任校顺虎</w:t>
            </w:r>
            <w:r>
              <w:rPr>
                <w:rFonts w:hint="eastAsia" w:ascii="宋体" w:hAnsi="宋体" w:cs="宋体"/>
                <w:color w:val="000000"/>
                <w:kern w:val="0"/>
                <w:sz w:val="18"/>
                <w:szCs w:val="18"/>
                <w:lang w:val="en-US" w:eastAsia="zh-CN"/>
              </w:rPr>
              <w:t>等对测量管理体系要求认识清楚,涉及产品范围符合实际情况;</w:t>
            </w:r>
          </w:p>
          <w:p>
            <w:pPr>
              <w:spacing w:line="360" w:lineRule="auto"/>
              <w:ind w:firstLine="360" w:firstLineChars="200"/>
              <w:rPr>
                <w:rFonts w:hint="eastAsia" w:ascii="宋体" w:hAnsi="宋体" w:cs="宋体"/>
                <w:color w:val="000000"/>
                <w:kern w:val="0"/>
                <w:sz w:val="18"/>
                <w:szCs w:val="18"/>
              </w:rPr>
            </w:pPr>
            <w:r>
              <w:rPr>
                <w:rFonts w:hint="eastAsia" w:ascii="宋体" w:hAnsi="宋体" w:cs="宋体"/>
                <w:color w:val="000000"/>
                <w:kern w:val="0"/>
                <w:sz w:val="18"/>
                <w:szCs w:val="18"/>
              </w:rPr>
              <w:t>生产部根据顾客要求和产品要求、</w:t>
            </w:r>
            <w:r>
              <w:rPr>
                <w:rFonts w:hint="eastAsia" w:ascii="宋体" w:hAnsi="宋体" w:cs="宋体"/>
                <w:color w:val="000000"/>
                <w:kern w:val="0"/>
                <w:sz w:val="18"/>
                <w:szCs w:val="18"/>
                <w:lang w:eastAsia="zh-CN"/>
              </w:rPr>
              <w:t>建筑材料检验标准要求</w:t>
            </w:r>
            <w:r>
              <w:rPr>
                <w:rFonts w:hint="eastAsia" w:ascii="宋体" w:hAnsi="宋体" w:cs="宋体"/>
                <w:color w:val="000000"/>
                <w:kern w:val="0"/>
                <w:sz w:val="18"/>
                <w:szCs w:val="18"/>
              </w:rPr>
              <w:t>及相关法律法规要求</w:t>
            </w:r>
            <w:r>
              <w:rPr>
                <w:rFonts w:hint="eastAsia" w:ascii="宋体" w:hAnsi="宋体" w:cs="宋体"/>
                <w:color w:val="000000"/>
                <w:kern w:val="0"/>
                <w:sz w:val="18"/>
                <w:szCs w:val="18"/>
                <w:lang w:eastAsia="zh-CN"/>
              </w:rPr>
              <w:t>识别</w:t>
            </w:r>
            <w:r>
              <w:rPr>
                <w:rFonts w:hint="eastAsia" w:ascii="宋体" w:hAnsi="宋体" w:cs="宋体"/>
                <w:color w:val="000000"/>
                <w:kern w:val="0"/>
                <w:sz w:val="18"/>
                <w:szCs w:val="18"/>
              </w:rPr>
              <w:t>计量要求。</w:t>
            </w:r>
            <w:r>
              <w:rPr>
                <w:rFonts w:hint="eastAsia" w:ascii="宋体" w:hAnsi="宋体" w:cs="宋体"/>
                <w:color w:val="000000"/>
                <w:kern w:val="0"/>
                <w:sz w:val="18"/>
                <w:szCs w:val="18"/>
                <w:lang w:eastAsia="zh-CN"/>
              </w:rPr>
              <w:t>配备的检测资源</w:t>
            </w:r>
            <w:r>
              <w:rPr>
                <w:rFonts w:hint="eastAsia" w:ascii="宋体" w:hAnsi="宋体" w:cs="宋体"/>
                <w:color w:val="000000"/>
                <w:kern w:val="0"/>
                <w:sz w:val="18"/>
                <w:szCs w:val="18"/>
              </w:rPr>
              <w:t>符合要求。已考虑由于不符合计量要求而带来的风险和后果。</w:t>
            </w:r>
          </w:p>
          <w:p>
            <w:pPr>
              <w:spacing w:line="360" w:lineRule="auto"/>
              <w:rPr>
                <w:rFonts w:hint="eastAsia" w:ascii="宋体" w:hAnsi="宋体" w:cs="宋体"/>
                <w:kern w:val="0"/>
                <w:sz w:val="18"/>
                <w:szCs w:val="18"/>
                <w:lang w:val="en-US" w:eastAsia="zh-CN"/>
              </w:rPr>
            </w:pPr>
            <w:r>
              <w:rPr>
                <w:rFonts w:hint="eastAsia" w:ascii="宋体" w:hAnsi="宋体" w:cs="宋体"/>
                <w:color w:val="000000"/>
                <w:kern w:val="0"/>
                <w:sz w:val="18"/>
                <w:szCs w:val="18"/>
              </w:rPr>
              <w:t xml:space="preserve">   办公室</w:t>
            </w:r>
            <w:r>
              <w:rPr>
                <w:rFonts w:hint="eastAsia" w:ascii="宋体" w:hAnsi="宋体" w:cs="宋体"/>
                <w:kern w:val="0"/>
                <w:sz w:val="18"/>
                <w:szCs w:val="18"/>
              </w:rPr>
              <w:t>对本企业的产品质量标准、检测方法标准及作业文件建立了目录，并对相关计量要求进行了识别，控制的方式是对</w:t>
            </w:r>
            <w:r>
              <w:rPr>
                <w:rFonts w:hint="eastAsia" w:ascii="宋体" w:hAnsi="宋体" w:cs="宋体"/>
                <w:kern w:val="0"/>
                <w:sz w:val="18"/>
                <w:szCs w:val="18"/>
                <w:lang w:eastAsia="zh-CN"/>
              </w:rPr>
              <w:t>现场检查和</w:t>
            </w:r>
            <w:r>
              <w:rPr>
                <w:rFonts w:hint="eastAsia" w:ascii="宋体" w:hAnsi="宋体" w:cs="宋体"/>
                <w:kern w:val="0"/>
                <w:sz w:val="18"/>
                <w:szCs w:val="18"/>
                <w:lang w:val="en-US" w:eastAsia="zh-CN"/>
              </w:rPr>
              <w:t>实</w:t>
            </w:r>
            <w:r>
              <w:rPr>
                <w:rFonts w:hint="eastAsia" w:ascii="宋体" w:hAnsi="宋体" w:cs="宋体"/>
                <w:kern w:val="0"/>
                <w:sz w:val="18"/>
                <w:szCs w:val="18"/>
                <w:lang w:eastAsia="zh-CN"/>
              </w:rPr>
              <w:t>物抽样检测</w:t>
            </w:r>
            <w:r>
              <w:rPr>
                <w:rFonts w:hint="eastAsia" w:ascii="宋体" w:hAnsi="宋体" w:cs="宋体"/>
                <w:kern w:val="0"/>
                <w:sz w:val="18"/>
                <w:szCs w:val="18"/>
              </w:rPr>
              <w:t>。</w:t>
            </w:r>
          </w:p>
          <w:p>
            <w:pPr>
              <w:spacing w:line="360" w:lineRule="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2019年10月20日颁布了文件化体系要求,制定了质量目标,开展了相关体系活动,2020年3月20日进行了管理体系内部审核,2020年3月30日进行了管理评审,关闭了1个不符合项,落实了纠正预防措施.</w:t>
            </w:r>
          </w:p>
        </w:tc>
        <w:tc>
          <w:tcPr>
            <w:tcW w:w="1130" w:type="dxa"/>
            <w:noWrap w:val="0"/>
            <w:vAlign w:val="center"/>
          </w:tcPr>
          <w:p>
            <w:pPr>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办公室</w:t>
            </w:r>
          </w:p>
          <w:p>
            <w:pPr>
              <w:jc w:val="center"/>
              <w:rPr>
                <w:rFonts w:hint="default" w:ascii="宋体" w:hAnsi="宋体" w:cs="宋体"/>
                <w:color w:val="000000"/>
                <w:kern w:val="0"/>
                <w:sz w:val="18"/>
                <w:szCs w:val="18"/>
                <w:lang w:val="en-US" w:eastAsia="zh-CN"/>
              </w:rPr>
            </w:pPr>
            <w:r>
              <w:rPr>
                <w:rFonts w:hint="eastAsia"/>
                <w:bCs/>
                <w:sz w:val="18"/>
                <w:szCs w:val="18"/>
                <w:lang w:val="en-US" w:eastAsia="zh-CN"/>
              </w:rPr>
              <w:t>财务</w:t>
            </w:r>
            <w:r>
              <w:rPr>
                <w:rFonts w:hint="eastAsia"/>
                <w:bCs/>
                <w:sz w:val="18"/>
                <w:szCs w:val="18"/>
              </w:rPr>
              <w:t>部</w:t>
            </w:r>
          </w:p>
          <w:p>
            <w:pPr>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生产部</w:t>
            </w:r>
          </w:p>
          <w:p>
            <w:pPr>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（机修组、</w:t>
            </w:r>
          </w:p>
          <w:p>
            <w:pPr>
              <w:jc w:val="center"/>
              <w:rPr>
                <w:rFonts w:hint="eastAsia" w:ascii="宋体" w:hAnsi="宋体" w:cs="宋体"/>
                <w:color w:val="000000"/>
                <w:kern w:val="0"/>
                <w:sz w:val="18"/>
                <w:szCs w:val="18"/>
                <w:lang w:val="en-US" w:eastAsia="zh-CN"/>
              </w:rPr>
            </w:pPr>
            <w:r>
              <w:rPr>
                <w:rFonts w:hint="eastAsia" w:eastAsia="新宋体"/>
                <w:sz w:val="18"/>
                <w:szCs w:val="18"/>
                <w:lang w:val="en-US" w:eastAsia="zh-CN"/>
              </w:rPr>
              <w:t>调度组</w:t>
            </w:r>
            <w:r>
              <w:rPr>
                <w:rFonts w:hint="eastAsia" w:ascii="宋体" w:hAnsi="宋体" w:cs="宋体"/>
                <w:color w:val="000000"/>
                <w:kern w:val="0"/>
                <w:sz w:val="18"/>
                <w:szCs w:val="18"/>
                <w:lang w:val="en-US" w:eastAsia="zh-CN"/>
              </w:rPr>
              <w:t>）</w:t>
            </w:r>
          </w:p>
          <w:p>
            <w:pPr>
              <w:jc w:val="center"/>
              <w:rPr>
                <w:rFonts w:hint="default" w:ascii="宋体" w:hAnsi="宋体" w:cs="宋体"/>
                <w:color w:val="000000"/>
                <w:kern w:val="0"/>
                <w:sz w:val="18"/>
                <w:szCs w:val="18"/>
                <w:lang w:val="en-US" w:eastAsia="zh-CN"/>
              </w:rPr>
            </w:pPr>
          </w:p>
        </w:tc>
        <w:tc>
          <w:tcPr>
            <w:tcW w:w="1092" w:type="dxa"/>
            <w:noWrap w:val="0"/>
            <w:vAlign w:val="center"/>
          </w:tcPr>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hint="eastAsia" w:ascii="宋体" w:hAnsi="宋体" w:eastAsia="宋体"/>
                <w:sz w:val="18"/>
                <w:szCs w:val="18"/>
                <w:lang w:val="en-US" w:eastAsia="zh-CN"/>
              </w:rPr>
            </w:pPr>
            <w:r>
              <w:rPr>
                <w:rFonts w:hint="eastAsia" w:ascii="宋体" w:hAnsi="宋体"/>
                <w:sz w:val="18"/>
                <w:szCs w:val="18"/>
                <w:lang w:val="en-US" w:eastAsia="zh-CN"/>
              </w:rPr>
              <w:t>否</w:t>
            </w: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hint="eastAsia" w:ascii="宋体" w:hAnsi="宋体"/>
                <w:sz w:val="18"/>
                <w:szCs w:val="18"/>
              </w:rPr>
            </w:pPr>
          </w:p>
          <w:p>
            <w:pPr>
              <w:jc w:val="center"/>
              <w:rPr>
                <w:rFonts w:hint="eastAsia" w:ascii="宋体" w:hAnsi="宋体"/>
                <w:sz w:val="18"/>
                <w:szCs w:val="18"/>
              </w:rPr>
            </w:pPr>
            <w:r>
              <w:rPr>
                <w:rFonts w:hint="eastAsia" w:ascii="宋体" w:hAns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9" w:hRule="atLeast"/>
          <w:jc w:val="center"/>
        </w:trPr>
        <w:tc>
          <w:tcPr>
            <w:tcW w:w="613" w:type="dxa"/>
            <w:noWrap w:val="0"/>
            <w:vAlign w:val="center"/>
          </w:tcPr>
          <w:p>
            <w:pPr>
              <w:spacing w:line="320" w:lineRule="exact"/>
              <w:jc w:val="center"/>
              <w:rPr>
                <w:rFonts w:hint="eastAsia" w:ascii="宋体" w:hAnsi="宋体"/>
                <w:szCs w:val="21"/>
              </w:rPr>
            </w:pPr>
            <w:r>
              <w:rPr>
                <w:rFonts w:hint="eastAsia" w:ascii="宋体" w:hAnsi="宋体"/>
                <w:szCs w:val="21"/>
              </w:rPr>
              <w:t>2</w:t>
            </w:r>
          </w:p>
        </w:tc>
        <w:tc>
          <w:tcPr>
            <w:tcW w:w="2073" w:type="dxa"/>
            <w:noWrap w:val="0"/>
            <w:vAlign w:val="center"/>
          </w:tcPr>
          <w:p>
            <w:pPr>
              <w:spacing w:line="400" w:lineRule="exact"/>
              <w:jc w:val="left"/>
              <w:rPr>
                <w:rFonts w:hint="eastAsia" w:ascii="宋体" w:hAnsi="宋体"/>
                <w:sz w:val="18"/>
                <w:szCs w:val="18"/>
              </w:rPr>
            </w:pPr>
            <w:r>
              <w:rPr>
                <w:rFonts w:hint="eastAsia" w:ascii="宋体" w:hAnsi="宋体"/>
                <w:sz w:val="18"/>
                <w:szCs w:val="18"/>
              </w:rPr>
              <w:t>企业是否识别顾客的测量要求并转化为计量要求。</w:t>
            </w:r>
          </w:p>
          <w:p>
            <w:pPr>
              <w:spacing w:line="400" w:lineRule="exact"/>
              <w:jc w:val="left"/>
              <w:rPr>
                <w:rFonts w:hint="eastAsia" w:ascii="宋体" w:hAnsi="宋体"/>
                <w:sz w:val="18"/>
                <w:szCs w:val="18"/>
              </w:rPr>
            </w:pPr>
            <w:r>
              <w:rPr>
                <w:rFonts w:hint="eastAsia" w:ascii="宋体" w:hAnsi="宋体"/>
                <w:sz w:val="18"/>
                <w:szCs w:val="18"/>
              </w:rPr>
              <w:t>了解并满足顾客的计量要求。</w:t>
            </w:r>
          </w:p>
          <w:p>
            <w:pPr>
              <w:spacing w:line="400" w:lineRule="exact"/>
              <w:jc w:val="left"/>
              <w:rPr>
                <w:rFonts w:hint="eastAsia" w:ascii="宋体" w:hAnsi="宋体"/>
                <w:sz w:val="18"/>
                <w:szCs w:val="18"/>
              </w:rPr>
            </w:pPr>
            <w:r>
              <w:rPr>
                <w:rFonts w:hint="eastAsia" w:ascii="宋体" w:hAnsi="宋体"/>
                <w:sz w:val="18"/>
                <w:szCs w:val="18"/>
              </w:rPr>
              <w:t>是否提供满足顾客要求的证据。</w:t>
            </w:r>
          </w:p>
          <w:p>
            <w:pPr>
              <w:spacing w:line="400" w:lineRule="exact"/>
              <w:jc w:val="left"/>
              <w:rPr>
                <w:rFonts w:hint="eastAsia" w:ascii="宋体" w:hAnsi="宋体"/>
                <w:sz w:val="18"/>
                <w:szCs w:val="18"/>
              </w:rPr>
            </w:pPr>
            <w:r>
              <w:rPr>
                <w:rFonts w:hint="eastAsia" w:ascii="宋体" w:hAnsi="宋体"/>
                <w:sz w:val="18"/>
                <w:szCs w:val="18"/>
              </w:rPr>
              <w:t>企业在产品质量、物料交接、能源、安全、现场管理等方面是否有顾客投诉、纠纷、处理等状况。</w:t>
            </w:r>
          </w:p>
        </w:tc>
        <w:tc>
          <w:tcPr>
            <w:tcW w:w="1045" w:type="dxa"/>
            <w:noWrap w:val="0"/>
            <w:vAlign w:val="center"/>
          </w:tcPr>
          <w:p>
            <w:pPr>
              <w:spacing w:line="400" w:lineRule="exact"/>
              <w:jc w:val="center"/>
              <w:rPr>
                <w:rFonts w:hint="eastAsia" w:ascii="宋体" w:hAnsi="宋体"/>
                <w:sz w:val="18"/>
                <w:szCs w:val="18"/>
              </w:rPr>
            </w:pPr>
          </w:p>
          <w:p>
            <w:pPr>
              <w:spacing w:line="400" w:lineRule="exact"/>
              <w:rPr>
                <w:rFonts w:hint="eastAsia" w:ascii="宋体" w:hAnsi="宋体"/>
                <w:sz w:val="18"/>
                <w:szCs w:val="18"/>
              </w:rPr>
            </w:pPr>
            <w:r>
              <w:rPr>
                <w:rFonts w:hint="eastAsia" w:ascii="宋体" w:hAnsi="宋体"/>
                <w:sz w:val="18"/>
                <w:szCs w:val="18"/>
              </w:rPr>
              <w:t xml:space="preserve">  </w:t>
            </w:r>
          </w:p>
          <w:p>
            <w:pPr>
              <w:spacing w:line="400" w:lineRule="exact"/>
              <w:rPr>
                <w:rFonts w:hint="eastAsia" w:ascii="宋体" w:hAnsi="宋体"/>
                <w:sz w:val="18"/>
                <w:szCs w:val="18"/>
              </w:rPr>
            </w:pPr>
          </w:p>
          <w:p>
            <w:pPr>
              <w:spacing w:line="400" w:lineRule="exact"/>
              <w:rPr>
                <w:rFonts w:hint="eastAsia" w:ascii="宋体" w:hAnsi="宋体"/>
                <w:sz w:val="18"/>
                <w:szCs w:val="18"/>
              </w:rPr>
            </w:pPr>
            <w:r>
              <w:rPr>
                <w:rFonts w:hint="eastAsia" w:ascii="宋体" w:hAnsi="宋体"/>
                <w:sz w:val="18"/>
                <w:szCs w:val="18"/>
              </w:rPr>
              <w:t xml:space="preserve">   </w:t>
            </w:r>
          </w:p>
          <w:p>
            <w:pPr>
              <w:spacing w:line="400" w:lineRule="exact"/>
              <w:jc w:val="center"/>
              <w:rPr>
                <w:rFonts w:hint="eastAsia" w:ascii="宋体" w:hAnsi="宋体"/>
                <w:sz w:val="18"/>
                <w:szCs w:val="18"/>
                <w:lang w:val="en-US" w:eastAsia="zh-CN"/>
              </w:rPr>
            </w:pPr>
            <w:r>
              <w:rPr>
                <w:rFonts w:hint="eastAsia" w:ascii="宋体" w:hAnsi="宋体"/>
                <w:sz w:val="18"/>
                <w:szCs w:val="18"/>
                <w:lang w:val="en-US" w:eastAsia="zh-CN"/>
              </w:rPr>
              <w:t>4、5.4、6.1、</w:t>
            </w:r>
          </w:p>
          <w:p>
            <w:pPr>
              <w:spacing w:line="400" w:lineRule="exact"/>
              <w:jc w:val="center"/>
              <w:rPr>
                <w:rFonts w:hint="eastAsia" w:ascii="宋体" w:hAnsi="宋体"/>
                <w:sz w:val="18"/>
                <w:szCs w:val="18"/>
                <w:lang w:val="en-US" w:eastAsia="zh-CN"/>
              </w:rPr>
            </w:pPr>
            <w:r>
              <w:rPr>
                <w:rFonts w:hint="eastAsia" w:ascii="宋体" w:hAnsi="宋体"/>
                <w:sz w:val="18"/>
                <w:szCs w:val="18"/>
                <w:lang w:val="en-US" w:eastAsia="zh-CN"/>
              </w:rPr>
              <w:t>6.2、8.1、</w:t>
            </w:r>
          </w:p>
          <w:p>
            <w:pPr>
              <w:spacing w:line="400" w:lineRule="exact"/>
              <w:jc w:val="center"/>
              <w:rPr>
                <w:rFonts w:hint="default" w:ascii="宋体" w:hAnsi="宋体"/>
                <w:sz w:val="18"/>
                <w:szCs w:val="18"/>
                <w:lang w:val="en-US" w:eastAsia="zh-CN"/>
              </w:rPr>
            </w:pPr>
            <w:r>
              <w:rPr>
                <w:rFonts w:hint="eastAsia" w:ascii="宋体" w:hAnsi="宋体"/>
                <w:sz w:val="18"/>
                <w:szCs w:val="18"/>
                <w:lang w:val="en-US" w:eastAsia="zh-CN"/>
              </w:rPr>
              <w:t>8.2、</w:t>
            </w:r>
          </w:p>
        </w:tc>
        <w:tc>
          <w:tcPr>
            <w:tcW w:w="4320" w:type="dxa"/>
            <w:noWrap w:val="0"/>
            <w:vAlign w:val="center"/>
          </w:tcPr>
          <w:p>
            <w:pPr>
              <w:spacing w:line="400" w:lineRule="exact"/>
              <w:rPr>
                <w:rFonts w:hint="eastAsia" w:ascii="宋体" w:hAnsi="宋体"/>
                <w:sz w:val="18"/>
                <w:szCs w:val="18"/>
                <w:lang w:val="en-US" w:eastAsia="zh-CN"/>
              </w:rPr>
            </w:pPr>
            <w:r>
              <w:rPr>
                <w:rFonts w:hint="eastAsia" w:ascii="宋体" w:hAnsi="宋体"/>
                <w:sz w:val="18"/>
                <w:szCs w:val="18"/>
                <w:lang w:eastAsia="zh-CN"/>
              </w:rPr>
              <w:t>管理手册规定了各部门计量职能</w:t>
            </w:r>
            <w:r>
              <w:rPr>
                <w:rFonts w:hint="eastAsia" w:ascii="宋体" w:hAnsi="宋体"/>
                <w:sz w:val="18"/>
                <w:szCs w:val="18"/>
                <w:lang w:val="en-US" w:eastAsia="zh-CN"/>
              </w:rPr>
              <w:t>;</w:t>
            </w:r>
          </w:p>
          <w:p>
            <w:pPr>
              <w:spacing w:line="400" w:lineRule="exact"/>
              <w:rPr>
                <w:rFonts w:hint="eastAsia" w:ascii="宋体" w:hAnsi="宋体"/>
                <w:sz w:val="18"/>
                <w:szCs w:val="18"/>
                <w:lang w:val="en-US" w:eastAsia="zh-CN"/>
              </w:rPr>
            </w:pPr>
            <w:r>
              <w:rPr>
                <w:rFonts w:hint="eastAsia" w:ascii="宋体" w:hAnsi="宋体"/>
                <w:sz w:val="18"/>
                <w:szCs w:val="18"/>
                <w:lang w:eastAsia="zh-CN"/>
              </w:rPr>
              <w:t>办公室</w:t>
            </w:r>
            <w:r>
              <w:rPr>
                <w:rFonts w:hint="eastAsia" w:ascii="宋体" w:hAnsi="宋体"/>
                <w:sz w:val="18"/>
                <w:szCs w:val="18"/>
                <w:lang w:val="en-US" w:eastAsia="zh-CN"/>
              </w:rPr>
              <w:t>提供了</w:t>
            </w:r>
            <w:r>
              <w:rPr>
                <w:rFonts w:hint="eastAsia" w:ascii="宋体" w:hAnsi="宋体" w:cs="宋体"/>
                <w:kern w:val="0"/>
                <w:sz w:val="18"/>
                <w:szCs w:val="18"/>
                <w:lang w:val="en-US" w:eastAsia="zh-CN"/>
              </w:rPr>
              <w:t>2020年3月20日</w:t>
            </w:r>
            <w:r>
              <w:rPr>
                <w:rFonts w:hint="eastAsia" w:ascii="宋体" w:hAnsi="宋体"/>
                <w:sz w:val="18"/>
                <w:szCs w:val="18"/>
                <w:lang w:val="en-US" w:eastAsia="zh-CN"/>
              </w:rPr>
              <w:t>的管理评审记录、公司岗位目录和2019年年度培训计划及公司文件目录和规章制度汇编,能顾满足测量管理体系要求;公司按计划实施了相关培训如检测技术人员基础知识和实际操作培训等;</w:t>
            </w:r>
          </w:p>
          <w:p>
            <w:pPr>
              <w:spacing w:line="400" w:lineRule="exact"/>
              <w:ind w:firstLine="360" w:firstLineChars="200"/>
              <w:rPr>
                <w:rFonts w:hint="default" w:ascii="宋体" w:hAnsi="宋体"/>
                <w:sz w:val="18"/>
                <w:szCs w:val="18"/>
                <w:lang w:val="en-US" w:eastAsia="zh-CN"/>
              </w:rPr>
            </w:pPr>
            <w:r>
              <w:rPr>
                <w:rFonts w:hint="eastAsia" w:ascii="宋体" w:hAnsi="宋体"/>
                <w:sz w:val="18"/>
                <w:szCs w:val="18"/>
                <w:lang w:val="en-US" w:eastAsia="zh-CN"/>
              </w:rPr>
              <w:t>办公室组织的内部审核，对发现的问题及时进行了整改。</w:t>
            </w:r>
          </w:p>
          <w:p>
            <w:pPr>
              <w:jc w:val="center"/>
              <w:rPr>
                <w:rFonts w:hint="eastAsia" w:ascii="宋体" w:hAnsi="宋体" w:cs="宋体"/>
                <w:kern w:val="0"/>
                <w:sz w:val="18"/>
                <w:szCs w:val="18"/>
              </w:rPr>
            </w:pPr>
            <w:r>
              <w:rPr>
                <w:rFonts w:hint="eastAsia" w:ascii="宋体" w:hAnsi="宋体" w:cs="宋体"/>
                <w:kern w:val="0"/>
                <w:sz w:val="18"/>
                <w:szCs w:val="18"/>
              </w:rPr>
              <w:t xml:space="preserve">   </w:t>
            </w:r>
          </w:p>
          <w:p>
            <w:pPr>
              <w:jc w:val="left"/>
              <w:rPr>
                <w:rFonts w:hint="eastAsia" w:ascii="宋体" w:hAnsi="宋体"/>
                <w:sz w:val="18"/>
                <w:szCs w:val="18"/>
              </w:rPr>
            </w:pPr>
            <w:r>
              <w:rPr>
                <w:rFonts w:hint="eastAsia" w:ascii="宋体" w:hAnsi="宋体"/>
                <w:sz w:val="18"/>
                <w:szCs w:val="18"/>
              </w:rPr>
              <w:t>未发现企业在产品质量、物料交接、能源、安全、现场管理等方面是否有顾客投诉、纠纷、处理等状况。</w:t>
            </w:r>
          </w:p>
          <w:p>
            <w:pPr>
              <w:spacing w:line="400" w:lineRule="exact"/>
              <w:ind w:firstLine="360" w:firstLineChars="200"/>
              <w:rPr>
                <w:rFonts w:hint="eastAsia" w:ascii="宋体" w:hAnsi="宋体"/>
                <w:sz w:val="18"/>
                <w:szCs w:val="18"/>
              </w:rPr>
            </w:pPr>
            <w:r>
              <w:rPr>
                <w:rFonts w:hint="eastAsia" w:ascii="宋体" w:hAnsi="宋体"/>
                <w:sz w:val="18"/>
                <w:szCs w:val="18"/>
                <w:lang w:val="en-US" w:eastAsia="zh-CN"/>
              </w:rPr>
              <w:t xml:space="preserve"> </w:t>
            </w:r>
          </w:p>
          <w:p>
            <w:pPr>
              <w:spacing w:line="400" w:lineRule="exact"/>
              <w:ind w:firstLine="360" w:firstLineChars="200"/>
              <w:rPr>
                <w:rFonts w:hint="eastAsia" w:ascii="宋体" w:hAnsi="宋体"/>
                <w:sz w:val="18"/>
                <w:szCs w:val="18"/>
              </w:rPr>
            </w:pPr>
            <w:r>
              <w:rPr>
                <w:rFonts w:hint="eastAsia" w:ascii="宋体" w:hAnsi="宋体"/>
                <w:sz w:val="18"/>
                <w:szCs w:val="18"/>
              </w:rPr>
              <w:t xml:space="preserve">    </w:t>
            </w:r>
          </w:p>
        </w:tc>
        <w:tc>
          <w:tcPr>
            <w:tcW w:w="1130" w:type="dxa"/>
            <w:noWrap w:val="0"/>
            <w:vAlign w:val="center"/>
          </w:tcPr>
          <w:p>
            <w:pPr>
              <w:jc w:val="center"/>
              <w:rPr>
                <w:rFonts w:hint="eastAsia"/>
                <w:sz w:val="18"/>
                <w:szCs w:val="18"/>
              </w:rPr>
            </w:pPr>
          </w:p>
          <w:p>
            <w:pPr>
              <w:jc w:val="center"/>
              <w:rPr>
                <w:rFonts w:hint="eastAsia" w:ascii="宋体" w:hAnsi="宋体" w:cs="宋体"/>
                <w:color w:val="000000"/>
                <w:kern w:val="0"/>
                <w:sz w:val="18"/>
                <w:szCs w:val="18"/>
                <w:lang w:eastAsia="zh-CN"/>
              </w:rPr>
            </w:pPr>
          </w:p>
          <w:p>
            <w:pPr>
              <w:jc w:val="center"/>
              <w:rPr>
                <w:rFonts w:hint="eastAsia" w:ascii="宋体" w:hAnsi="宋体" w:cs="宋体"/>
                <w:color w:val="000000"/>
                <w:kern w:val="0"/>
                <w:sz w:val="18"/>
                <w:szCs w:val="18"/>
                <w:lang w:eastAsia="zh-CN"/>
              </w:rPr>
            </w:pPr>
          </w:p>
          <w:p>
            <w:pPr>
              <w:jc w:val="center"/>
              <w:rPr>
                <w:rFonts w:hint="eastAsia" w:ascii="宋体" w:hAnsi="宋体" w:cs="宋体"/>
                <w:color w:val="000000"/>
                <w:kern w:val="0"/>
                <w:sz w:val="18"/>
                <w:szCs w:val="18"/>
                <w:lang w:eastAsia="zh-CN"/>
              </w:rPr>
            </w:pPr>
          </w:p>
          <w:p>
            <w:pPr>
              <w:jc w:val="center"/>
              <w:rPr>
                <w:rFonts w:hint="eastAsia" w:ascii="宋体" w:hAnsi="宋体" w:cs="宋体"/>
                <w:color w:val="000000"/>
                <w:kern w:val="0"/>
                <w:sz w:val="18"/>
                <w:szCs w:val="18"/>
                <w:lang w:eastAsia="zh-CN"/>
              </w:rPr>
            </w:pPr>
          </w:p>
          <w:p>
            <w:pPr>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办公室</w:t>
            </w:r>
          </w:p>
          <w:p>
            <w:pPr>
              <w:jc w:val="center"/>
              <w:rPr>
                <w:rFonts w:hint="default" w:ascii="宋体" w:hAnsi="宋体" w:cs="宋体"/>
                <w:color w:val="000000"/>
                <w:kern w:val="0"/>
                <w:sz w:val="18"/>
                <w:szCs w:val="18"/>
                <w:lang w:val="en-US" w:eastAsia="zh-CN"/>
              </w:rPr>
            </w:pPr>
            <w:r>
              <w:rPr>
                <w:rFonts w:hint="eastAsia"/>
                <w:bCs/>
                <w:sz w:val="18"/>
                <w:szCs w:val="18"/>
                <w:lang w:val="en-US" w:eastAsia="zh-CN"/>
              </w:rPr>
              <w:t>财务</w:t>
            </w:r>
            <w:r>
              <w:rPr>
                <w:rFonts w:hint="eastAsia"/>
                <w:bCs/>
                <w:sz w:val="18"/>
                <w:szCs w:val="18"/>
              </w:rPr>
              <w:t>部</w:t>
            </w:r>
          </w:p>
          <w:p>
            <w:pPr>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生产部</w:t>
            </w:r>
          </w:p>
          <w:p>
            <w:pPr>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（机修组、</w:t>
            </w:r>
          </w:p>
          <w:p>
            <w:pPr>
              <w:jc w:val="center"/>
              <w:rPr>
                <w:rFonts w:hint="eastAsia" w:ascii="宋体" w:hAnsi="宋体" w:cs="宋体"/>
                <w:color w:val="000000"/>
                <w:kern w:val="0"/>
                <w:sz w:val="18"/>
                <w:szCs w:val="18"/>
                <w:lang w:val="en-US" w:eastAsia="zh-CN"/>
              </w:rPr>
            </w:pPr>
            <w:r>
              <w:rPr>
                <w:rFonts w:hint="eastAsia" w:eastAsia="新宋体"/>
                <w:sz w:val="18"/>
                <w:szCs w:val="18"/>
                <w:lang w:val="en-US" w:eastAsia="zh-CN"/>
              </w:rPr>
              <w:t>调度组</w:t>
            </w:r>
            <w:r>
              <w:rPr>
                <w:rFonts w:hint="eastAsia" w:ascii="宋体" w:hAnsi="宋体" w:cs="宋体"/>
                <w:color w:val="000000"/>
                <w:kern w:val="0"/>
                <w:sz w:val="18"/>
                <w:szCs w:val="18"/>
                <w:lang w:val="en-US" w:eastAsia="zh-CN"/>
              </w:rPr>
              <w:t>）</w:t>
            </w:r>
          </w:p>
          <w:p>
            <w:pPr>
              <w:rPr>
                <w:rFonts w:hint="eastAsia"/>
                <w:sz w:val="18"/>
                <w:szCs w:val="18"/>
              </w:rPr>
            </w:pPr>
          </w:p>
          <w:p>
            <w:pPr>
              <w:jc w:val="center"/>
              <w:rPr>
                <w:rFonts w:hint="eastAsia"/>
                <w:sz w:val="18"/>
                <w:szCs w:val="18"/>
              </w:rPr>
            </w:pPr>
          </w:p>
          <w:p>
            <w:pPr>
              <w:jc w:val="center"/>
              <w:rPr>
                <w:rFonts w:hint="eastAsia"/>
                <w:sz w:val="18"/>
                <w:szCs w:val="18"/>
              </w:rPr>
            </w:pPr>
          </w:p>
          <w:p>
            <w:pPr>
              <w:jc w:val="both"/>
              <w:rPr>
                <w:rFonts w:hint="eastAsia"/>
                <w:sz w:val="18"/>
                <w:szCs w:val="18"/>
              </w:rPr>
            </w:pPr>
          </w:p>
          <w:p>
            <w:pPr>
              <w:jc w:val="center"/>
              <w:rPr>
                <w:rFonts w:hint="eastAsia" w:ascii="宋体" w:hAnsi="宋体"/>
                <w:color w:val="000000"/>
                <w:sz w:val="18"/>
                <w:szCs w:val="18"/>
              </w:rPr>
            </w:pPr>
            <w:r>
              <w:rPr>
                <w:rFonts w:hint="eastAsia"/>
                <w:sz w:val="18"/>
                <w:szCs w:val="18"/>
              </w:rPr>
              <w:t xml:space="preserve"> </w:t>
            </w:r>
          </w:p>
        </w:tc>
        <w:tc>
          <w:tcPr>
            <w:tcW w:w="1092" w:type="dxa"/>
            <w:noWrap w:val="0"/>
            <w:vAlign w:val="center"/>
          </w:tcPr>
          <w:p>
            <w:pPr>
              <w:rPr>
                <w:rFonts w:hint="eastAsia" w:ascii="宋体" w:hAnsi="宋体" w:eastAsia="宋体"/>
                <w:sz w:val="18"/>
                <w:szCs w:val="18"/>
                <w:lang w:eastAsia="zh-CN"/>
              </w:rPr>
            </w:pPr>
            <w:r>
              <w:rPr>
                <w:rFonts w:hint="eastAsia" w:ascii="宋体" w:hAnsi="宋体"/>
                <w:sz w:val="18"/>
                <w:szCs w:val="18"/>
                <w:lang w:val="en-US" w:eastAsia="zh-CN"/>
              </w:rPr>
              <w:t xml:space="preserve"> </w:t>
            </w:r>
          </w:p>
          <w:p>
            <w:pPr>
              <w:ind w:firstLine="180" w:firstLineChars="100"/>
              <w:rPr>
                <w:rFonts w:hint="eastAsia" w:ascii="宋体" w:hAnsi="宋体"/>
                <w:sz w:val="18"/>
                <w:szCs w:val="18"/>
                <w:lang w:val="en-US" w:eastAsia="zh-CN"/>
              </w:rPr>
            </w:pPr>
          </w:p>
          <w:p>
            <w:pPr>
              <w:ind w:firstLine="180" w:firstLineChars="100"/>
              <w:rPr>
                <w:rFonts w:hint="eastAsia" w:ascii="宋体" w:hAnsi="宋体"/>
                <w:sz w:val="18"/>
                <w:szCs w:val="18"/>
                <w:lang w:val="en-US" w:eastAsia="zh-CN"/>
              </w:rPr>
            </w:pPr>
          </w:p>
          <w:p>
            <w:pPr>
              <w:ind w:firstLine="180" w:firstLineChars="100"/>
              <w:rPr>
                <w:rFonts w:hint="eastAsia" w:ascii="宋体" w:hAnsi="宋体"/>
                <w:sz w:val="18"/>
                <w:szCs w:val="18"/>
                <w:lang w:val="en-US" w:eastAsia="zh-CN"/>
              </w:rPr>
            </w:pPr>
          </w:p>
          <w:p>
            <w:pPr>
              <w:ind w:firstLine="180" w:firstLineChars="100"/>
              <w:rPr>
                <w:rFonts w:hint="eastAsia" w:ascii="宋体" w:hAnsi="宋体"/>
                <w:sz w:val="18"/>
                <w:szCs w:val="18"/>
              </w:rPr>
            </w:pPr>
            <w:r>
              <w:rPr>
                <w:rFonts w:hint="eastAsia" w:ascii="宋体" w:hAnsi="宋体"/>
                <w:sz w:val="18"/>
                <w:szCs w:val="18"/>
                <w:lang w:val="en-US" w:eastAsia="zh-CN"/>
              </w:rPr>
              <w:t>否</w:t>
            </w:r>
          </w:p>
          <w:p>
            <w:pPr>
              <w:rPr>
                <w:rFonts w:hint="eastAsia" w:ascii="宋体" w:hAnsi="宋体"/>
                <w:sz w:val="18"/>
                <w:szCs w:val="18"/>
              </w:rPr>
            </w:pPr>
          </w:p>
          <w:p>
            <w:pPr>
              <w:rPr>
                <w:rFonts w:hint="eastAsia" w:ascii="宋体" w:hAnsi="宋体" w:eastAsia="宋体"/>
                <w:sz w:val="18"/>
                <w:szCs w:val="18"/>
                <w:lang w:eastAsia="zh-CN"/>
              </w:rPr>
            </w:pPr>
          </w:p>
          <w:p>
            <w:pPr>
              <w:rPr>
                <w:rFonts w:hint="eastAsia" w:ascii="宋体" w:hAnsi="宋体"/>
                <w:sz w:val="18"/>
                <w:szCs w:val="18"/>
              </w:rPr>
            </w:pPr>
            <w:r>
              <w:rPr>
                <w:rFonts w:hint="eastAsia" w:ascii="宋体" w:hAns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noWrap w:val="0"/>
            <w:vAlign w:val="center"/>
          </w:tcPr>
          <w:p>
            <w:pPr>
              <w:spacing w:line="320" w:lineRule="exact"/>
              <w:jc w:val="center"/>
              <w:rPr>
                <w:rFonts w:hint="eastAsia" w:ascii="宋体" w:hAnsi="宋体"/>
                <w:szCs w:val="21"/>
              </w:rPr>
            </w:pPr>
            <w:r>
              <w:rPr>
                <w:rFonts w:hint="eastAsia" w:ascii="宋体" w:hAnsi="宋体"/>
                <w:szCs w:val="21"/>
              </w:rPr>
              <w:t>4</w:t>
            </w:r>
          </w:p>
        </w:tc>
        <w:tc>
          <w:tcPr>
            <w:tcW w:w="2073" w:type="dxa"/>
            <w:noWrap w:val="0"/>
            <w:vAlign w:val="center"/>
          </w:tcPr>
          <w:p>
            <w:pPr>
              <w:spacing w:line="400" w:lineRule="exact"/>
              <w:rPr>
                <w:rFonts w:hint="eastAsia"/>
                <w:sz w:val="18"/>
                <w:szCs w:val="18"/>
              </w:rPr>
            </w:pPr>
            <w:r>
              <w:rPr>
                <w:rFonts w:hint="eastAsia"/>
                <w:sz w:val="18"/>
                <w:szCs w:val="18"/>
              </w:rPr>
              <w:t>企业管理性和技术性文件资料有哪些？文件是否定期评审和更新？文件是否现行有效并受控？</w:t>
            </w:r>
          </w:p>
          <w:p>
            <w:pPr>
              <w:spacing w:line="400" w:lineRule="exact"/>
              <w:rPr>
                <w:rFonts w:hint="eastAsia"/>
                <w:sz w:val="18"/>
                <w:szCs w:val="18"/>
              </w:rPr>
            </w:pPr>
            <w:r>
              <w:rPr>
                <w:rFonts w:hint="eastAsia"/>
                <w:sz w:val="18"/>
                <w:szCs w:val="18"/>
              </w:rPr>
              <w:t>产品检验记录信息是否完整、规范？</w:t>
            </w:r>
          </w:p>
          <w:p>
            <w:pPr>
              <w:spacing w:line="320" w:lineRule="exact"/>
              <w:rPr>
                <w:rFonts w:hint="eastAsia" w:ascii="宋体" w:hAnsi="宋体"/>
                <w:sz w:val="18"/>
                <w:szCs w:val="18"/>
              </w:rPr>
            </w:pPr>
            <w:r>
              <w:rPr>
                <w:rFonts w:hint="eastAsia" w:ascii="宋体" w:hAnsi="宋体"/>
                <w:sz w:val="18"/>
                <w:szCs w:val="18"/>
              </w:rPr>
              <w:t>有无测量设备台帐？是否包括监视设备和标准物质?</w:t>
            </w:r>
          </w:p>
          <w:p>
            <w:pPr>
              <w:spacing w:line="320" w:lineRule="exact"/>
              <w:rPr>
                <w:rFonts w:hint="eastAsia" w:ascii="宋体" w:hAnsi="宋体"/>
                <w:sz w:val="18"/>
                <w:szCs w:val="18"/>
              </w:rPr>
            </w:pPr>
            <w:r>
              <w:rPr>
                <w:rFonts w:hint="eastAsia" w:ascii="宋体" w:hAnsi="宋体"/>
                <w:sz w:val="18"/>
                <w:szCs w:val="18"/>
              </w:rPr>
              <w:t>测量设备是否处于有效的校准状态？</w:t>
            </w:r>
          </w:p>
          <w:p>
            <w:pPr>
              <w:spacing w:line="320" w:lineRule="exact"/>
              <w:rPr>
                <w:rFonts w:hint="eastAsia" w:ascii="宋体" w:hAnsi="宋体"/>
                <w:sz w:val="18"/>
                <w:szCs w:val="18"/>
              </w:rPr>
            </w:pPr>
            <w:r>
              <w:rPr>
                <w:rFonts w:hint="eastAsia" w:ascii="宋体" w:hAnsi="宋体"/>
                <w:sz w:val="18"/>
                <w:szCs w:val="18"/>
              </w:rPr>
              <w:t>是否有计量确认状态标识</w:t>
            </w:r>
          </w:p>
          <w:p>
            <w:pPr>
              <w:spacing w:line="320" w:lineRule="exact"/>
              <w:rPr>
                <w:rFonts w:hint="eastAsia" w:ascii="宋体" w:hAnsi="宋体"/>
                <w:sz w:val="18"/>
                <w:szCs w:val="18"/>
              </w:rPr>
            </w:pPr>
            <w:r>
              <w:rPr>
                <w:rFonts w:hint="eastAsia" w:ascii="宋体" w:hAnsi="宋体"/>
                <w:sz w:val="18"/>
                <w:szCs w:val="18"/>
              </w:rPr>
              <w:t>使用环境条件是否满足要求？是否需要修正？</w:t>
            </w:r>
          </w:p>
          <w:p>
            <w:pPr>
              <w:spacing w:line="440" w:lineRule="exact"/>
              <w:jc w:val="left"/>
              <w:rPr>
                <w:rFonts w:hint="eastAsia" w:ascii="宋体" w:hAnsi="宋体"/>
                <w:sz w:val="18"/>
                <w:szCs w:val="18"/>
              </w:rPr>
            </w:pPr>
            <w:r>
              <w:rPr>
                <w:rFonts w:hint="eastAsia" w:ascii="宋体" w:hAnsi="宋体"/>
                <w:sz w:val="18"/>
                <w:szCs w:val="18"/>
              </w:rPr>
              <w:t xml:space="preserve">是否有测量过程控制程序？ </w:t>
            </w:r>
          </w:p>
          <w:p>
            <w:pPr>
              <w:spacing w:line="440" w:lineRule="exact"/>
              <w:jc w:val="left"/>
              <w:rPr>
                <w:rFonts w:hint="eastAsia" w:ascii="宋体" w:hAnsi="宋体"/>
                <w:sz w:val="18"/>
                <w:szCs w:val="18"/>
              </w:rPr>
            </w:pPr>
            <w:r>
              <w:rPr>
                <w:rFonts w:hint="eastAsia" w:ascii="宋体" w:hAnsi="宋体"/>
                <w:sz w:val="18"/>
                <w:szCs w:val="18"/>
              </w:rPr>
              <w:t>测量过程是否进行分类管理?有无高度控制测量过程?</w:t>
            </w:r>
          </w:p>
          <w:p>
            <w:pPr>
              <w:spacing w:line="440" w:lineRule="exact"/>
              <w:jc w:val="left"/>
              <w:rPr>
                <w:rFonts w:hint="eastAsia" w:ascii="宋体" w:hAnsi="宋体"/>
                <w:sz w:val="18"/>
                <w:szCs w:val="18"/>
              </w:rPr>
            </w:pPr>
            <w:r>
              <w:rPr>
                <w:rFonts w:hint="eastAsia" w:ascii="宋体" w:hAnsi="宋体"/>
                <w:sz w:val="18"/>
                <w:szCs w:val="18"/>
              </w:rPr>
              <w:t>测量过程设计是否进行了有效性确认?</w:t>
            </w:r>
          </w:p>
          <w:p>
            <w:pPr>
              <w:spacing w:line="440" w:lineRule="exact"/>
              <w:jc w:val="left"/>
              <w:rPr>
                <w:rFonts w:hint="eastAsia" w:ascii="宋体" w:hAnsi="宋体"/>
                <w:color w:val="000000"/>
                <w:sz w:val="18"/>
                <w:szCs w:val="18"/>
              </w:rPr>
            </w:pPr>
            <w:r>
              <w:rPr>
                <w:rFonts w:hint="eastAsia" w:ascii="宋体" w:hAnsi="宋体"/>
                <w:sz w:val="18"/>
                <w:szCs w:val="18"/>
              </w:rPr>
              <w:t>测量过程的策划是否符合要求？测量过程是否在设计的受控条件下实现？抽查有关不确定度评定记录是否符合要求。</w:t>
            </w:r>
            <w:r>
              <w:rPr>
                <w:rFonts w:hint="eastAsia" w:ascii="宋体" w:hAnsi="宋体"/>
                <w:color w:val="000000"/>
                <w:sz w:val="18"/>
                <w:szCs w:val="18"/>
              </w:rPr>
              <w:t>是否制定测量管理体系监视计划？</w:t>
            </w:r>
          </w:p>
          <w:p>
            <w:pPr>
              <w:spacing w:line="400" w:lineRule="exact"/>
              <w:rPr>
                <w:rFonts w:hint="eastAsia"/>
                <w:sz w:val="18"/>
                <w:szCs w:val="18"/>
              </w:rPr>
            </w:pPr>
            <w:r>
              <w:rPr>
                <w:rFonts w:hint="eastAsia" w:ascii="宋体" w:hAnsi="宋体"/>
                <w:color w:val="000000"/>
                <w:sz w:val="18"/>
                <w:szCs w:val="18"/>
              </w:rPr>
              <w:t>是否按计划对测量管理体系进行监视？</w:t>
            </w:r>
          </w:p>
        </w:tc>
        <w:tc>
          <w:tcPr>
            <w:tcW w:w="1045" w:type="dxa"/>
            <w:noWrap w:val="0"/>
            <w:vAlign w:val="center"/>
          </w:tcPr>
          <w:p>
            <w:pPr>
              <w:spacing w:line="400" w:lineRule="exact"/>
              <w:jc w:val="both"/>
              <w:rPr>
                <w:rFonts w:hint="eastAsia" w:ascii="宋体" w:hAnsi="宋体"/>
                <w:sz w:val="18"/>
                <w:szCs w:val="18"/>
                <w:lang w:val="en-US" w:eastAsia="zh-CN"/>
              </w:rPr>
            </w:pPr>
            <w:r>
              <w:rPr>
                <w:rFonts w:hint="eastAsia" w:ascii="宋体" w:hAnsi="宋体"/>
                <w:sz w:val="18"/>
                <w:szCs w:val="18"/>
                <w:lang w:val="en-US" w:eastAsia="zh-CN"/>
              </w:rPr>
              <w:t>4,6.2,</w:t>
            </w:r>
          </w:p>
          <w:p>
            <w:pPr>
              <w:spacing w:line="400" w:lineRule="exact"/>
              <w:jc w:val="both"/>
              <w:rPr>
                <w:rFonts w:hint="eastAsia" w:ascii="宋体" w:hAnsi="宋体"/>
                <w:sz w:val="18"/>
                <w:szCs w:val="18"/>
                <w:lang w:val="en-US" w:eastAsia="zh-CN"/>
              </w:rPr>
            </w:pPr>
            <w:r>
              <w:rPr>
                <w:rFonts w:hint="eastAsia" w:ascii="宋体" w:hAnsi="宋体"/>
                <w:sz w:val="18"/>
                <w:szCs w:val="18"/>
                <w:lang w:val="en-US" w:eastAsia="zh-CN"/>
              </w:rPr>
              <w:t xml:space="preserve">6.3, </w:t>
            </w:r>
          </w:p>
          <w:p>
            <w:pPr>
              <w:spacing w:line="400" w:lineRule="exact"/>
              <w:jc w:val="both"/>
              <w:rPr>
                <w:rFonts w:hint="default" w:ascii="宋体" w:hAnsi="宋体" w:eastAsia="宋体"/>
                <w:sz w:val="18"/>
                <w:szCs w:val="18"/>
                <w:lang w:val="en-US" w:eastAsia="zh-CN"/>
              </w:rPr>
            </w:pPr>
            <w:r>
              <w:rPr>
                <w:rFonts w:hint="eastAsia" w:ascii="宋体" w:hAnsi="宋体"/>
                <w:sz w:val="18"/>
                <w:szCs w:val="18"/>
                <w:lang w:val="en-US" w:eastAsia="zh-CN"/>
              </w:rPr>
              <w:t>7.1,7.2,8.3,8.4</w:t>
            </w:r>
          </w:p>
          <w:p>
            <w:pPr>
              <w:spacing w:line="400" w:lineRule="exact"/>
              <w:jc w:val="center"/>
              <w:rPr>
                <w:rFonts w:hint="eastAsia" w:ascii="宋体" w:hAnsi="宋体"/>
                <w:sz w:val="18"/>
                <w:szCs w:val="18"/>
              </w:rPr>
            </w:pPr>
          </w:p>
          <w:p>
            <w:pPr>
              <w:spacing w:line="400" w:lineRule="exact"/>
              <w:jc w:val="center"/>
              <w:rPr>
                <w:rFonts w:hint="eastAsia" w:ascii="宋体" w:hAnsi="宋体"/>
                <w:sz w:val="18"/>
                <w:szCs w:val="18"/>
              </w:rPr>
            </w:pPr>
          </w:p>
        </w:tc>
        <w:tc>
          <w:tcPr>
            <w:tcW w:w="4320" w:type="dxa"/>
            <w:noWrap w:val="0"/>
            <w:vAlign w:val="center"/>
          </w:tcPr>
          <w:p>
            <w:pPr>
              <w:spacing w:line="360" w:lineRule="auto"/>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办公室、生产部提供GB/T18046-2017《用于水泥.沙浆和混凝土中的粒化高炉矿渣粉</w:t>
            </w:r>
            <w:r>
              <w:rPr>
                <w:rFonts w:hint="default" w:ascii="宋体" w:hAnsi="宋体" w:eastAsia="宋体" w:cs="Times New Roman"/>
                <w:sz w:val="18"/>
                <w:szCs w:val="18"/>
                <w:lang w:val="en-US" w:eastAsia="zh-CN"/>
              </w:rPr>
              <w:t>》</w:t>
            </w:r>
            <w:r>
              <w:rPr>
                <w:rFonts w:hint="eastAsia" w:ascii="宋体" w:hAnsi="宋体" w:eastAsia="宋体" w:cs="Times New Roman"/>
                <w:sz w:val="18"/>
                <w:szCs w:val="18"/>
                <w:lang w:val="en-US" w:eastAsia="zh-CN"/>
              </w:rPr>
              <w:t>、</w:t>
            </w:r>
            <w:r>
              <w:rPr>
                <w:rFonts w:hint="default" w:ascii="宋体" w:hAnsi="宋体" w:eastAsia="宋体" w:cs="Times New Roman"/>
                <w:sz w:val="18"/>
                <w:szCs w:val="18"/>
                <w:lang w:val="en-US" w:eastAsia="zh-CN"/>
              </w:rPr>
              <w:t>GB/T14684《建设用沙》、GB/T14685《建设用卵石.碎石》、GB/T1596-2017《用于水泥和混凝土中的粉煤灰》。GB/T14920-2012《预拌混凝土》，GB/T25181-2010《预拌沙浆》</w:t>
            </w:r>
            <w:r>
              <w:rPr>
                <w:rFonts w:hint="eastAsia" w:ascii="宋体" w:hAnsi="宋体" w:eastAsia="宋体" w:cs="Times New Roman"/>
                <w:sz w:val="18"/>
                <w:szCs w:val="18"/>
                <w:lang w:val="en-US" w:eastAsia="zh-CN"/>
              </w:rPr>
              <w:t>等文件均现行有效并有受控标识;</w:t>
            </w:r>
          </w:p>
          <w:p>
            <w:pPr>
              <w:spacing w:line="360" w:lineRule="auto"/>
              <w:jc w:val="left"/>
              <w:rPr>
                <w:rFonts w:hint="default" w:ascii="宋体" w:hAnsi="宋体" w:eastAsia="宋体" w:cs="Times New Roman"/>
                <w:sz w:val="18"/>
                <w:szCs w:val="18"/>
                <w:lang w:val="en-US" w:eastAsia="zh-CN"/>
              </w:rPr>
            </w:pPr>
            <w:r>
              <w:rPr>
                <w:rFonts w:hint="eastAsia" w:ascii="宋体" w:hAnsi="宋体" w:eastAsia="宋体" w:cs="Times New Roman"/>
                <w:sz w:val="18"/>
                <w:szCs w:val="18"/>
                <w:lang w:val="en-US" w:eastAsia="zh-CN"/>
              </w:rPr>
              <w:t>公司实验室部配备的测量设备均按照国家及行业检测技术标准配置测量设备,测量设备主要由陕西省计量科学研究院、西安计量技术研究院、陕西力源仪器设备检测有限公司进行计量检定或校准,实验室按要求进行计量确认，由安全环保监察部进行监督。</w:t>
            </w:r>
          </w:p>
          <w:p>
            <w:pPr>
              <w:spacing w:line="360" w:lineRule="auto"/>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现场混凝体搅拌生产装置定量配料称重及原料称重测量过程均进行了有效控制,配备的配料称、电子汽车衡列为强检计量器具，A类管理，其中定量称重采用定期核查方法,有核查记录;原材料称重地衡有地方计量技术机构实施</w:t>
            </w:r>
            <w:r>
              <w:rPr>
                <w:rFonts w:hint="eastAsia" w:ascii="宋体" w:hAnsi="宋体" w:cs="Times New Roman"/>
                <w:sz w:val="18"/>
                <w:szCs w:val="18"/>
                <w:lang w:val="en-US" w:eastAsia="zh-CN"/>
              </w:rPr>
              <w:t>定期</w:t>
            </w:r>
            <w:bookmarkStart w:id="2" w:name="_GoBack"/>
            <w:bookmarkEnd w:id="2"/>
            <w:r>
              <w:rPr>
                <w:rFonts w:hint="eastAsia" w:ascii="宋体" w:hAnsi="宋体" w:eastAsia="宋体" w:cs="Times New Roman"/>
                <w:sz w:val="18"/>
                <w:szCs w:val="18"/>
                <w:lang w:val="en-US" w:eastAsia="zh-CN"/>
              </w:rPr>
              <w:t>检定.</w:t>
            </w:r>
          </w:p>
          <w:p>
            <w:pPr>
              <w:spacing w:line="360" w:lineRule="auto"/>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现场测量过程由实验室实施监督;</w:t>
            </w:r>
          </w:p>
          <w:p>
            <w:pPr>
              <w:spacing w:line="360" w:lineRule="auto"/>
              <w:jc w:val="left"/>
              <w:rPr>
                <w:rFonts w:hint="default" w:ascii="宋体" w:hAnsi="宋体" w:eastAsia="宋体" w:cs="Times New Roman"/>
                <w:sz w:val="18"/>
                <w:szCs w:val="18"/>
                <w:lang w:val="en-US" w:eastAsia="zh-CN"/>
              </w:rPr>
            </w:pPr>
            <w:r>
              <w:rPr>
                <w:rFonts w:hint="eastAsia" w:ascii="宋体" w:hAnsi="宋体" w:eastAsia="宋体" w:cs="Times New Roman"/>
                <w:sz w:val="18"/>
                <w:szCs w:val="18"/>
                <w:lang w:val="en-US" w:eastAsia="zh-CN"/>
              </w:rPr>
              <w:t>实验室测量过程质量、体系的监督由安全环保监察部负责。</w:t>
            </w:r>
          </w:p>
          <w:p>
            <w:pPr>
              <w:spacing w:line="360" w:lineRule="auto"/>
              <w:jc w:val="left"/>
              <w:rPr>
                <w:rFonts w:hint="default" w:ascii="宋体" w:hAnsi="宋体" w:eastAsia="宋体" w:cs="Times New Roman"/>
                <w:sz w:val="18"/>
                <w:szCs w:val="18"/>
                <w:lang w:val="en-US" w:eastAsia="zh-CN"/>
              </w:rPr>
            </w:pPr>
            <w:r>
              <w:rPr>
                <w:rFonts w:hint="eastAsia" w:ascii="宋体" w:hAnsi="宋体" w:eastAsia="宋体" w:cs="Times New Roman"/>
                <w:sz w:val="18"/>
                <w:szCs w:val="18"/>
                <w:lang w:val="en-US" w:eastAsia="zh-CN"/>
              </w:rPr>
              <w:t>未发现相关不合格过程.</w:t>
            </w:r>
          </w:p>
          <w:p>
            <w:pPr>
              <w:spacing w:line="360" w:lineRule="auto"/>
              <w:ind w:firstLine="180" w:firstLineChars="100"/>
              <w:rPr>
                <w:rFonts w:hint="default" w:ascii="宋体" w:hAnsi="宋体"/>
                <w:sz w:val="18"/>
                <w:szCs w:val="18"/>
                <w:lang w:val="en-US" w:eastAsia="zh-CN"/>
              </w:rPr>
            </w:pPr>
          </w:p>
        </w:tc>
        <w:tc>
          <w:tcPr>
            <w:tcW w:w="1130" w:type="dxa"/>
            <w:noWrap w:val="0"/>
            <w:vAlign w:val="center"/>
          </w:tcPr>
          <w:p>
            <w:pPr>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办公室</w:t>
            </w:r>
          </w:p>
          <w:p>
            <w:pPr>
              <w:jc w:val="center"/>
              <w:rPr>
                <w:rFonts w:hint="default" w:ascii="宋体" w:hAnsi="宋体" w:cs="宋体"/>
                <w:color w:val="000000"/>
                <w:kern w:val="0"/>
                <w:sz w:val="18"/>
                <w:szCs w:val="18"/>
                <w:lang w:val="en-US" w:eastAsia="zh-CN"/>
              </w:rPr>
            </w:pPr>
            <w:r>
              <w:rPr>
                <w:rFonts w:hint="eastAsia"/>
                <w:bCs/>
                <w:sz w:val="18"/>
                <w:szCs w:val="18"/>
                <w:lang w:val="en-US" w:eastAsia="zh-CN"/>
              </w:rPr>
              <w:t>财务</w:t>
            </w:r>
            <w:r>
              <w:rPr>
                <w:rFonts w:hint="eastAsia"/>
                <w:bCs/>
                <w:sz w:val="18"/>
                <w:szCs w:val="18"/>
              </w:rPr>
              <w:t>部</w:t>
            </w:r>
          </w:p>
          <w:p>
            <w:pPr>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生产部</w:t>
            </w:r>
          </w:p>
          <w:p>
            <w:pPr>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（机修组、</w:t>
            </w:r>
          </w:p>
          <w:p>
            <w:pPr>
              <w:jc w:val="center"/>
              <w:rPr>
                <w:rFonts w:hint="eastAsia" w:ascii="宋体" w:hAnsi="宋体" w:cs="宋体"/>
                <w:color w:val="000000"/>
                <w:kern w:val="0"/>
                <w:sz w:val="18"/>
                <w:szCs w:val="18"/>
                <w:lang w:val="en-US" w:eastAsia="zh-CN"/>
              </w:rPr>
            </w:pPr>
            <w:r>
              <w:rPr>
                <w:rFonts w:hint="eastAsia" w:eastAsia="新宋体"/>
                <w:sz w:val="18"/>
                <w:szCs w:val="18"/>
                <w:lang w:val="en-US" w:eastAsia="zh-CN"/>
              </w:rPr>
              <w:t>调度组</w:t>
            </w:r>
            <w:r>
              <w:rPr>
                <w:rFonts w:hint="eastAsia" w:ascii="宋体" w:hAnsi="宋体" w:cs="宋体"/>
                <w:color w:val="000000"/>
                <w:kern w:val="0"/>
                <w:sz w:val="18"/>
                <w:szCs w:val="18"/>
                <w:lang w:val="en-US" w:eastAsia="zh-CN"/>
              </w:rPr>
              <w:t>）</w:t>
            </w:r>
          </w:p>
          <w:p>
            <w:pPr>
              <w:jc w:val="center"/>
              <w:rPr>
                <w:rFonts w:hint="eastAsia"/>
                <w:sz w:val="18"/>
                <w:szCs w:val="18"/>
              </w:rPr>
            </w:pPr>
          </w:p>
        </w:tc>
        <w:tc>
          <w:tcPr>
            <w:tcW w:w="1092"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 xml:space="preserve">否 </w:t>
            </w:r>
          </w:p>
        </w:tc>
      </w:tr>
    </w:tbl>
    <w:p>
      <w:pPr>
        <w:rPr>
          <w:rFonts w:hint="eastAsia" w:ascii="宋体" w:hAnsi="宋体"/>
          <w:szCs w:val="21"/>
        </w:rPr>
      </w:pPr>
    </w:p>
    <w:sectPr>
      <w:headerReference r:id="rId3" w:type="default"/>
      <w:footerReference r:id="rId4" w:type="default"/>
      <w:pgSz w:w="11906" w:h="16838"/>
      <w:pgMar w:top="1276" w:right="926" w:bottom="779" w:left="1080" w:header="397" w:footer="5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320" w:lineRule="exact"/>
      <w:ind w:left="-86" w:leftChars="-41" w:firstLine="720" w:firstLineChars="400"/>
      <w:jc w:val="left"/>
      <w:rPr>
        <w:rFonts w:hint="eastAsia"/>
      </w:rPr>
    </w:pPr>
    <w:r>
      <w:drawing>
        <wp:anchor distT="0" distB="0" distL="114300" distR="114300" simplePos="0" relativeHeight="251658240" behindDoc="1" locked="0" layoutInCell="1" allowOverlap="1">
          <wp:simplePos x="0" y="0"/>
          <wp:positionH relativeFrom="column">
            <wp:posOffset>68580</wp:posOffset>
          </wp:positionH>
          <wp:positionV relativeFrom="paragraph">
            <wp:posOffset>157480</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Fonts w:hint="eastAsia"/>
      </w:rPr>
      <w:t xml:space="preserve">   </w:t>
    </w:r>
  </w:p>
  <w:p>
    <w:pPr>
      <w:pStyle w:val="6"/>
      <w:pBdr>
        <w:bottom w:val="none" w:color="auto" w:sz="0" w:space="0"/>
      </w:pBdr>
      <w:spacing w:line="280" w:lineRule="exact"/>
      <w:jc w:val="left"/>
      <w:rPr>
        <w:rStyle w:val="13"/>
        <w:rFonts w:hint="default" w:ascii="Times New Roman" w:hAnsi="Times New Roman"/>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3847465</wp:posOffset>
              </wp:positionH>
              <wp:positionV relativeFrom="paragraph">
                <wp:posOffset>139700</wp:posOffset>
              </wp:positionV>
              <wp:extent cx="2459355" cy="261620"/>
              <wp:effectExtent l="0" t="0" r="17145" b="5080"/>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szCs w:val="21"/>
                            </w:rPr>
                            <w:t>ISC-A-I-</w:t>
                          </w:r>
                          <w:r>
                            <w:rPr>
                              <w:rFonts w:hint="eastAsia"/>
                              <w:szCs w:val="21"/>
                            </w:rPr>
                            <w:t>13审核员现场审核记录（06版）</w:t>
                          </w:r>
                        </w:p>
                      </w:txbxContent>
                    </wps:txbx>
                    <wps:bodyPr wrap="square" upright="1"/>
                  </wps:wsp>
                </a:graphicData>
              </a:graphic>
            </wp:anchor>
          </w:drawing>
        </mc:Choice>
        <mc:Fallback>
          <w:pict>
            <v:shape id="文本框 1" o:spid="_x0000_s1026" o:spt="202" type="#_x0000_t202" style="position:absolute;left:0pt;margin-left:302.95pt;margin-top:11pt;height:20.6pt;width:193.65pt;z-index:251659264;mso-width-relative:page;mso-height-relative:page;" fillcolor="#FFFFFF" filled="t" stroked="f" coordsize="21600,21600" o:gfxdata="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2bRtzXAAAACQEAAA8AAAAAAAAAAQAgAAAAIgAAAGRycy9kb3ducmV2LnhtbFBLAQIU&#10;ABQAAAAIAIdO4kAM0bRZuwEAAE4DAAAOAAAAAAAAAAEAIAAAACYBAABkcnMvZTJvRG9jLnhtbFBL&#10;BQYAAAAABgAGAFkBAABTBQAAAAA=&#10;">
              <v:fill on="t" focussize="0,0"/>
              <v:stroke on="f"/>
              <v:imagedata o:title=""/>
              <o:lock v:ext="edit" aspectratio="f"/>
              <v:textbox>
                <w:txbxContent>
                  <w:p>
                    <w:pPr>
                      <w:rPr>
                        <w:sz w:val="18"/>
                        <w:szCs w:val="18"/>
                      </w:rPr>
                    </w:pPr>
                    <w:r>
                      <w:rPr>
                        <w:szCs w:val="21"/>
                      </w:rPr>
                      <w:t>ISC-A-I-</w:t>
                    </w:r>
                    <w:r>
                      <w:rPr>
                        <w:rFonts w:hint="eastAsia"/>
                        <w:szCs w:val="21"/>
                      </w:rPr>
                      <w:t>13审核员现场审核记录（06版）</w:t>
                    </w:r>
                  </w:p>
                </w:txbxContent>
              </v:textbox>
            </v:shape>
          </w:pict>
        </mc:Fallback>
      </mc:AlternateContent>
    </w:r>
    <w:r>
      <w:rPr>
        <w:rStyle w:val="13"/>
        <w:rFonts w:hint="default"/>
        <w:szCs w:val="21"/>
      </w:rPr>
      <w:t xml:space="preserve">       北</w:t>
    </w:r>
    <w:r>
      <w:rPr>
        <w:rStyle w:val="13"/>
        <w:rFonts w:hint="default" w:ascii="Times New Roman" w:hAnsi="Times New Roman"/>
        <w:szCs w:val="21"/>
      </w:rPr>
      <w:t>京国标联合认证有限公司</w:t>
    </w:r>
  </w:p>
  <w:p>
    <w:pPr>
      <w:pStyle w:val="6"/>
      <w:pBdr>
        <w:bottom w:val="none" w:color="auto" w:sz="0" w:space="1"/>
      </w:pBdr>
      <w:spacing w:line="320" w:lineRule="exact"/>
      <w:jc w:val="left"/>
    </w:pPr>
    <w:r>
      <w:rPr>
        <w:rFonts w:ascii="Times New Roman" w:hAnsi="Times New Roman"/>
        <w:sz w:val="21"/>
        <w:szCs w:val="21"/>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207645</wp:posOffset>
              </wp:positionV>
              <wp:extent cx="6314440" cy="8890"/>
              <wp:effectExtent l="0" t="0" r="0" b="0"/>
              <wp:wrapNone/>
              <wp:docPr id="3" name="直线 4"/>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45pt;margin-top:16.35pt;height:0.7pt;width:497.2pt;z-index:251660288;mso-width-relative:page;mso-height-relative:page;" filled="f" stroked="t" coordsize="21600,21600" o:gfxdata="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f3+5NUAAAAHAQAADwAAAAAAAAAB&#10;ACAAAAAiAAAAZHJzL2Rvd25yZXYueG1sUEsBAhQAFAAAAAgAh07iQMG/cRbaAQAAmgMAAA4AAAAA&#10;AAAAAQAgAAAAJAEAAGRycy9lMm9Eb2MueG1sUEsFBgAAAAAGAAYAWQEAAHAFAAAAAA==&#10;">
              <v:fill on="f" focussize="0,0"/>
              <v:stroke color="#000000" joinstyle="round"/>
              <v:imagedata o:title=""/>
              <o:lock v:ext="edit" aspectratio="f"/>
            </v:line>
          </w:pict>
        </mc:Fallback>
      </mc:AlternateContent>
    </w:r>
    <w:r>
      <w:rPr>
        <w:rStyle w:val="13"/>
        <w:rFonts w:hint="default" w:ascii="Times New Roman" w:hAnsi="Times New Roman"/>
        <w:szCs w:val="21"/>
      </w:rPr>
      <w:t xml:space="preserve">       </w:t>
    </w:r>
    <w:r>
      <w:rPr>
        <w:rStyle w:val="13"/>
        <w:rFonts w:hint="default" w:ascii="Times New Roman" w:hAnsi="Times New Roman"/>
        <w:w w:val="80"/>
        <w:szCs w:val="21"/>
      </w:rPr>
      <w:t xml:space="preserve">Beijing International Standard united Certification Co.,Ltd. </w:t>
    </w:r>
    <w:r>
      <w:rPr>
        <w:rStyle w:val="13"/>
        <w:rFonts w:hint="default"/>
        <w:w w:val="90"/>
        <w:sz w:val="18"/>
      </w:rPr>
      <w:t xml:space="preserve">                     </w:t>
    </w:r>
  </w:p>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3"/>
      <w:numFmt w:val="bullet"/>
      <w:pStyle w:val="11"/>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2"/>
      <w:lvlText w:val="□"/>
      <w:lvlJc w:val="left"/>
      <w:pPr>
        <w:tabs>
          <w:tab w:val="left" w:pos="252"/>
        </w:tabs>
        <w:ind w:left="252" w:hanging="360"/>
      </w:pPr>
      <w:rPr>
        <w:rFonts w:hint="eastAsia" w:asci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00FE"/>
    <w:rsid w:val="00002A2F"/>
    <w:rsid w:val="0000417C"/>
    <w:rsid w:val="0000688D"/>
    <w:rsid w:val="00007EC8"/>
    <w:rsid w:val="000109E7"/>
    <w:rsid w:val="00013C2A"/>
    <w:rsid w:val="00021238"/>
    <w:rsid w:val="0002307F"/>
    <w:rsid w:val="000234A4"/>
    <w:rsid w:val="000272C2"/>
    <w:rsid w:val="00031502"/>
    <w:rsid w:val="00032BB0"/>
    <w:rsid w:val="000341EA"/>
    <w:rsid w:val="000353DC"/>
    <w:rsid w:val="00037044"/>
    <w:rsid w:val="00040042"/>
    <w:rsid w:val="00041319"/>
    <w:rsid w:val="00046AD7"/>
    <w:rsid w:val="00062C0D"/>
    <w:rsid w:val="000702E2"/>
    <w:rsid w:val="00071F80"/>
    <w:rsid w:val="00075021"/>
    <w:rsid w:val="0007530F"/>
    <w:rsid w:val="00092564"/>
    <w:rsid w:val="000A03EA"/>
    <w:rsid w:val="000A0F1B"/>
    <w:rsid w:val="000A2151"/>
    <w:rsid w:val="000A3F7B"/>
    <w:rsid w:val="000A48E3"/>
    <w:rsid w:val="000A4F0A"/>
    <w:rsid w:val="000B76A8"/>
    <w:rsid w:val="000C07E7"/>
    <w:rsid w:val="000C187D"/>
    <w:rsid w:val="000C3FCF"/>
    <w:rsid w:val="000C49EA"/>
    <w:rsid w:val="000D0AF6"/>
    <w:rsid w:val="000D4BA0"/>
    <w:rsid w:val="000E03B7"/>
    <w:rsid w:val="000E21C7"/>
    <w:rsid w:val="000E3DA3"/>
    <w:rsid w:val="000E4D56"/>
    <w:rsid w:val="000E4F7A"/>
    <w:rsid w:val="000F0ADF"/>
    <w:rsid w:val="000F3E2A"/>
    <w:rsid w:val="000F5482"/>
    <w:rsid w:val="000F6675"/>
    <w:rsid w:val="00101F12"/>
    <w:rsid w:val="00114D9B"/>
    <w:rsid w:val="00120BC5"/>
    <w:rsid w:val="001253DB"/>
    <w:rsid w:val="00127FD4"/>
    <w:rsid w:val="00131304"/>
    <w:rsid w:val="0013329F"/>
    <w:rsid w:val="00140FD5"/>
    <w:rsid w:val="00141863"/>
    <w:rsid w:val="00142B9D"/>
    <w:rsid w:val="00145985"/>
    <w:rsid w:val="00151260"/>
    <w:rsid w:val="001607B2"/>
    <w:rsid w:val="0016262E"/>
    <w:rsid w:val="001732E6"/>
    <w:rsid w:val="0017368E"/>
    <w:rsid w:val="001756C4"/>
    <w:rsid w:val="00180F87"/>
    <w:rsid w:val="0018393A"/>
    <w:rsid w:val="00187EC9"/>
    <w:rsid w:val="0019276B"/>
    <w:rsid w:val="001A183E"/>
    <w:rsid w:val="001A2EF8"/>
    <w:rsid w:val="001A32A1"/>
    <w:rsid w:val="001A39C4"/>
    <w:rsid w:val="001B084C"/>
    <w:rsid w:val="001B6C8A"/>
    <w:rsid w:val="001B7213"/>
    <w:rsid w:val="001C3BE0"/>
    <w:rsid w:val="001D14D1"/>
    <w:rsid w:val="001D36CD"/>
    <w:rsid w:val="001D5448"/>
    <w:rsid w:val="001D5996"/>
    <w:rsid w:val="001D7CF5"/>
    <w:rsid w:val="001E0BAF"/>
    <w:rsid w:val="001E47DB"/>
    <w:rsid w:val="001E5A09"/>
    <w:rsid w:val="001F18FF"/>
    <w:rsid w:val="0020004C"/>
    <w:rsid w:val="00212921"/>
    <w:rsid w:val="00223355"/>
    <w:rsid w:val="00227D1B"/>
    <w:rsid w:val="002359D1"/>
    <w:rsid w:val="002377C9"/>
    <w:rsid w:val="00237AD3"/>
    <w:rsid w:val="00240982"/>
    <w:rsid w:val="0024177C"/>
    <w:rsid w:val="00242043"/>
    <w:rsid w:val="002422B2"/>
    <w:rsid w:val="00245AB3"/>
    <w:rsid w:val="002462A6"/>
    <w:rsid w:val="002474F2"/>
    <w:rsid w:val="002569E9"/>
    <w:rsid w:val="00261EA3"/>
    <w:rsid w:val="002620E2"/>
    <w:rsid w:val="00270889"/>
    <w:rsid w:val="00273D8D"/>
    <w:rsid w:val="00274CFC"/>
    <w:rsid w:val="00275AF1"/>
    <w:rsid w:val="00285427"/>
    <w:rsid w:val="0029415A"/>
    <w:rsid w:val="00296977"/>
    <w:rsid w:val="002A6DFE"/>
    <w:rsid w:val="002A723B"/>
    <w:rsid w:val="002B3A5C"/>
    <w:rsid w:val="002D3E78"/>
    <w:rsid w:val="002D65C0"/>
    <w:rsid w:val="002E01B1"/>
    <w:rsid w:val="002E0920"/>
    <w:rsid w:val="002E13FB"/>
    <w:rsid w:val="002F51A1"/>
    <w:rsid w:val="002F5C86"/>
    <w:rsid w:val="00301F60"/>
    <w:rsid w:val="003050AA"/>
    <w:rsid w:val="00305CBF"/>
    <w:rsid w:val="00306389"/>
    <w:rsid w:val="0030645C"/>
    <w:rsid w:val="00306E4A"/>
    <w:rsid w:val="0031058E"/>
    <w:rsid w:val="00312A13"/>
    <w:rsid w:val="00313779"/>
    <w:rsid w:val="00317D26"/>
    <w:rsid w:val="0033057F"/>
    <w:rsid w:val="0033220D"/>
    <w:rsid w:val="003323B5"/>
    <w:rsid w:val="00335052"/>
    <w:rsid w:val="00335EF2"/>
    <w:rsid w:val="00337F2C"/>
    <w:rsid w:val="003412FC"/>
    <w:rsid w:val="00344CFB"/>
    <w:rsid w:val="0034586E"/>
    <w:rsid w:val="0034680B"/>
    <w:rsid w:val="00356766"/>
    <w:rsid w:val="003607B5"/>
    <w:rsid w:val="00360AA6"/>
    <w:rsid w:val="00364DAF"/>
    <w:rsid w:val="00366642"/>
    <w:rsid w:val="0037017C"/>
    <w:rsid w:val="00372478"/>
    <w:rsid w:val="003814F7"/>
    <w:rsid w:val="00381BF3"/>
    <w:rsid w:val="00386BA5"/>
    <w:rsid w:val="003947DA"/>
    <w:rsid w:val="0039603A"/>
    <w:rsid w:val="003A1208"/>
    <w:rsid w:val="003A1C10"/>
    <w:rsid w:val="003B2096"/>
    <w:rsid w:val="003C1AFF"/>
    <w:rsid w:val="003D02C8"/>
    <w:rsid w:val="003D2CE1"/>
    <w:rsid w:val="003D3F17"/>
    <w:rsid w:val="003D7920"/>
    <w:rsid w:val="003E2136"/>
    <w:rsid w:val="003E22D3"/>
    <w:rsid w:val="003E493D"/>
    <w:rsid w:val="003E4E2D"/>
    <w:rsid w:val="003E5D0C"/>
    <w:rsid w:val="003F112C"/>
    <w:rsid w:val="003F4B00"/>
    <w:rsid w:val="00404CF6"/>
    <w:rsid w:val="004055C7"/>
    <w:rsid w:val="0040564D"/>
    <w:rsid w:val="004060CD"/>
    <w:rsid w:val="00422A4F"/>
    <w:rsid w:val="00423A04"/>
    <w:rsid w:val="00442097"/>
    <w:rsid w:val="004454F6"/>
    <w:rsid w:val="00450DE8"/>
    <w:rsid w:val="00451846"/>
    <w:rsid w:val="00451D6E"/>
    <w:rsid w:val="00451F5C"/>
    <w:rsid w:val="00453287"/>
    <w:rsid w:val="00454D98"/>
    <w:rsid w:val="00456038"/>
    <w:rsid w:val="00457B43"/>
    <w:rsid w:val="004613CA"/>
    <w:rsid w:val="004638B9"/>
    <w:rsid w:val="00470D56"/>
    <w:rsid w:val="00476DFF"/>
    <w:rsid w:val="00480A3C"/>
    <w:rsid w:val="00485EA5"/>
    <w:rsid w:val="004874BF"/>
    <w:rsid w:val="00490F23"/>
    <w:rsid w:val="00491E90"/>
    <w:rsid w:val="00492A05"/>
    <w:rsid w:val="00495DA0"/>
    <w:rsid w:val="0049650D"/>
    <w:rsid w:val="004A0BC1"/>
    <w:rsid w:val="004A7BD3"/>
    <w:rsid w:val="004B0C4B"/>
    <w:rsid w:val="004B0C87"/>
    <w:rsid w:val="004B2505"/>
    <w:rsid w:val="004B2B45"/>
    <w:rsid w:val="004B3A56"/>
    <w:rsid w:val="004B499A"/>
    <w:rsid w:val="004B5907"/>
    <w:rsid w:val="004C0FE9"/>
    <w:rsid w:val="004C453D"/>
    <w:rsid w:val="004C6676"/>
    <w:rsid w:val="004D2C9E"/>
    <w:rsid w:val="004E001E"/>
    <w:rsid w:val="004E1113"/>
    <w:rsid w:val="004E1C95"/>
    <w:rsid w:val="004F1080"/>
    <w:rsid w:val="004F1086"/>
    <w:rsid w:val="004F47D1"/>
    <w:rsid w:val="0050205A"/>
    <w:rsid w:val="00506704"/>
    <w:rsid w:val="00521BCB"/>
    <w:rsid w:val="005249F6"/>
    <w:rsid w:val="005268BE"/>
    <w:rsid w:val="0053465C"/>
    <w:rsid w:val="00545A1F"/>
    <w:rsid w:val="00551E03"/>
    <w:rsid w:val="005552B3"/>
    <w:rsid w:val="0056046C"/>
    <w:rsid w:val="005609C1"/>
    <w:rsid w:val="0056113C"/>
    <w:rsid w:val="00561C1E"/>
    <w:rsid w:val="0056303F"/>
    <w:rsid w:val="00566DF4"/>
    <w:rsid w:val="00571669"/>
    <w:rsid w:val="005728FC"/>
    <w:rsid w:val="00574654"/>
    <w:rsid w:val="00581DD7"/>
    <w:rsid w:val="005854C8"/>
    <w:rsid w:val="005A0263"/>
    <w:rsid w:val="005A5F8B"/>
    <w:rsid w:val="005A73AC"/>
    <w:rsid w:val="005B5993"/>
    <w:rsid w:val="005B6FEA"/>
    <w:rsid w:val="005B77D1"/>
    <w:rsid w:val="005C00F1"/>
    <w:rsid w:val="005C0B7B"/>
    <w:rsid w:val="005C1479"/>
    <w:rsid w:val="005C1E01"/>
    <w:rsid w:val="005C78A1"/>
    <w:rsid w:val="005C790E"/>
    <w:rsid w:val="005D2D77"/>
    <w:rsid w:val="005D77B5"/>
    <w:rsid w:val="005E0968"/>
    <w:rsid w:val="005E1046"/>
    <w:rsid w:val="005F033D"/>
    <w:rsid w:val="005F23F4"/>
    <w:rsid w:val="005F62AF"/>
    <w:rsid w:val="005F7450"/>
    <w:rsid w:val="00600502"/>
    <w:rsid w:val="006047C9"/>
    <w:rsid w:val="00606D7B"/>
    <w:rsid w:val="006148A6"/>
    <w:rsid w:val="00620843"/>
    <w:rsid w:val="00620E3B"/>
    <w:rsid w:val="00622175"/>
    <w:rsid w:val="00622E44"/>
    <w:rsid w:val="00623DAF"/>
    <w:rsid w:val="00627690"/>
    <w:rsid w:val="006302FC"/>
    <w:rsid w:val="0063101A"/>
    <w:rsid w:val="00633B31"/>
    <w:rsid w:val="00635374"/>
    <w:rsid w:val="006356E6"/>
    <w:rsid w:val="0063767E"/>
    <w:rsid w:val="00645636"/>
    <w:rsid w:val="006504E6"/>
    <w:rsid w:val="006556FE"/>
    <w:rsid w:val="00656448"/>
    <w:rsid w:val="006566A7"/>
    <w:rsid w:val="00656884"/>
    <w:rsid w:val="006608DB"/>
    <w:rsid w:val="00663A9A"/>
    <w:rsid w:val="006669BF"/>
    <w:rsid w:val="006673A7"/>
    <w:rsid w:val="00667452"/>
    <w:rsid w:val="00672081"/>
    <w:rsid w:val="006751B4"/>
    <w:rsid w:val="0067610E"/>
    <w:rsid w:val="006761C8"/>
    <w:rsid w:val="00680E49"/>
    <w:rsid w:val="00681B43"/>
    <w:rsid w:val="00681DCA"/>
    <w:rsid w:val="00684D2A"/>
    <w:rsid w:val="00685B7D"/>
    <w:rsid w:val="00690B54"/>
    <w:rsid w:val="006915EE"/>
    <w:rsid w:val="00691C1E"/>
    <w:rsid w:val="00692FA9"/>
    <w:rsid w:val="00696899"/>
    <w:rsid w:val="00696B46"/>
    <w:rsid w:val="00696FA3"/>
    <w:rsid w:val="006A1C9B"/>
    <w:rsid w:val="006C1AA5"/>
    <w:rsid w:val="006C2466"/>
    <w:rsid w:val="006C3658"/>
    <w:rsid w:val="006C47CE"/>
    <w:rsid w:val="006C50A5"/>
    <w:rsid w:val="006C5B96"/>
    <w:rsid w:val="006D25AC"/>
    <w:rsid w:val="006D2A00"/>
    <w:rsid w:val="006E294D"/>
    <w:rsid w:val="006E597D"/>
    <w:rsid w:val="006F2BAC"/>
    <w:rsid w:val="006F6599"/>
    <w:rsid w:val="006F79AC"/>
    <w:rsid w:val="0070231D"/>
    <w:rsid w:val="00702B86"/>
    <w:rsid w:val="0070321D"/>
    <w:rsid w:val="0070328E"/>
    <w:rsid w:val="0070636E"/>
    <w:rsid w:val="00706CBE"/>
    <w:rsid w:val="007101AA"/>
    <w:rsid w:val="00710BD4"/>
    <w:rsid w:val="00711413"/>
    <w:rsid w:val="00713782"/>
    <w:rsid w:val="00726653"/>
    <w:rsid w:val="00727A19"/>
    <w:rsid w:val="00727CD5"/>
    <w:rsid w:val="007340B8"/>
    <w:rsid w:val="0073481D"/>
    <w:rsid w:val="00735882"/>
    <w:rsid w:val="00736AEF"/>
    <w:rsid w:val="00741EF0"/>
    <w:rsid w:val="00743BAE"/>
    <w:rsid w:val="007455B8"/>
    <w:rsid w:val="00754CDC"/>
    <w:rsid w:val="007617A1"/>
    <w:rsid w:val="00761F22"/>
    <w:rsid w:val="007663DE"/>
    <w:rsid w:val="0076660A"/>
    <w:rsid w:val="00770E88"/>
    <w:rsid w:val="00772277"/>
    <w:rsid w:val="007723D2"/>
    <w:rsid w:val="007773F8"/>
    <w:rsid w:val="007779A9"/>
    <w:rsid w:val="00787241"/>
    <w:rsid w:val="00787C24"/>
    <w:rsid w:val="0079060B"/>
    <w:rsid w:val="0079111A"/>
    <w:rsid w:val="00791FD1"/>
    <w:rsid w:val="00794C85"/>
    <w:rsid w:val="00795A4D"/>
    <w:rsid w:val="00796D65"/>
    <w:rsid w:val="007A313E"/>
    <w:rsid w:val="007A40B0"/>
    <w:rsid w:val="007A4B38"/>
    <w:rsid w:val="007B08ED"/>
    <w:rsid w:val="007B4A72"/>
    <w:rsid w:val="007B4D3F"/>
    <w:rsid w:val="007C1EDC"/>
    <w:rsid w:val="007C4515"/>
    <w:rsid w:val="007C5479"/>
    <w:rsid w:val="007C5B2F"/>
    <w:rsid w:val="007D3977"/>
    <w:rsid w:val="007D3C00"/>
    <w:rsid w:val="007D41B1"/>
    <w:rsid w:val="007E4A11"/>
    <w:rsid w:val="007E52C7"/>
    <w:rsid w:val="007E55FB"/>
    <w:rsid w:val="007E6172"/>
    <w:rsid w:val="007F147A"/>
    <w:rsid w:val="007F7D06"/>
    <w:rsid w:val="008068F0"/>
    <w:rsid w:val="00811FDF"/>
    <w:rsid w:val="00822E33"/>
    <w:rsid w:val="008252FD"/>
    <w:rsid w:val="008345A3"/>
    <w:rsid w:val="00835519"/>
    <w:rsid w:val="00836EF6"/>
    <w:rsid w:val="00841803"/>
    <w:rsid w:val="0084794F"/>
    <w:rsid w:val="008536AF"/>
    <w:rsid w:val="008547BF"/>
    <w:rsid w:val="00854DB7"/>
    <w:rsid w:val="00871934"/>
    <w:rsid w:val="00871CA2"/>
    <w:rsid w:val="00874BC5"/>
    <w:rsid w:val="0088053B"/>
    <w:rsid w:val="00881322"/>
    <w:rsid w:val="00882221"/>
    <w:rsid w:val="0088260B"/>
    <w:rsid w:val="0088674E"/>
    <w:rsid w:val="008916F1"/>
    <w:rsid w:val="008A2E9B"/>
    <w:rsid w:val="008A4A8A"/>
    <w:rsid w:val="008A5AD1"/>
    <w:rsid w:val="008B0201"/>
    <w:rsid w:val="008B1D56"/>
    <w:rsid w:val="008B2191"/>
    <w:rsid w:val="008B4BA5"/>
    <w:rsid w:val="008B5643"/>
    <w:rsid w:val="008B7618"/>
    <w:rsid w:val="008C0BAB"/>
    <w:rsid w:val="008C16E0"/>
    <w:rsid w:val="008C268B"/>
    <w:rsid w:val="008D3FBC"/>
    <w:rsid w:val="008D70FC"/>
    <w:rsid w:val="008D73FF"/>
    <w:rsid w:val="008E3137"/>
    <w:rsid w:val="008E3962"/>
    <w:rsid w:val="008E562D"/>
    <w:rsid w:val="00900FF7"/>
    <w:rsid w:val="0090374A"/>
    <w:rsid w:val="00904366"/>
    <w:rsid w:val="00904B90"/>
    <w:rsid w:val="00906765"/>
    <w:rsid w:val="00906B4B"/>
    <w:rsid w:val="0091263A"/>
    <w:rsid w:val="00913681"/>
    <w:rsid w:val="00925B52"/>
    <w:rsid w:val="00927462"/>
    <w:rsid w:val="009304DC"/>
    <w:rsid w:val="0093472D"/>
    <w:rsid w:val="00935023"/>
    <w:rsid w:val="00936F44"/>
    <w:rsid w:val="00945D1A"/>
    <w:rsid w:val="00951B0E"/>
    <w:rsid w:val="00956552"/>
    <w:rsid w:val="0096582D"/>
    <w:rsid w:val="009709E2"/>
    <w:rsid w:val="00972481"/>
    <w:rsid w:val="00975C5E"/>
    <w:rsid w:val="00983481"/>
    <w:rsid w:val="00990852"/>
    <w:rsid w:val="00993175"/>
    <w:rsid w:val="00993DE7"/>
    <w:rsid w:val="00994413"/>
    <w:rsid w:val="009945F4"/>
    <w:rsid w:val="009A4C02"/>
    <w:rsid w:val="009B60B6"/>
    <w:rsid w:val="009C1880"/>
    <w:rsid w:val="009D4684"/>
    <w:rsid w:val="009E0BAB"/>
    <w:rsid w:val="009E121B"/>
    <w:rsid w:val="009E3A16"/>
    <w:rsid w:val="009E6CF4"/>
    <w:rsid w:val="009E76AD"/>
    <w:rsid w:val="009F20A3"/>
    <w:rsid w:val="009F3017"/>
    <w:rsid w:val="00A02360"/>
    <w:rsid w:val="00A02592"/>
    <w:rsid w:val="00A02B2C"/>
    <w:rsid w:val="00A123E1"/>
    <w:rsid w:val="00A13009"/>
    <w:rsid w:val="00A13524"/>
    <w:rsid w:val="00A22AA2"/>
    <w:rsid w:val="00A24587"/>
    <w:rsid w:val="00A362E6"/>
    <w:rsid w:val="00A43008"/>
    <w:rsid w:val="00A44FC9"/>
    <w:rsid w:val="00A50236"/>
    <w:rsid w:val="00A51F28"/>
    <w:rsid w:val="00A529A4"/>
    <w:rsid w:val="00A54777"/>
    <w:rsid w:val="00A5720D"/>
    <w:rsid w:val="00A62F89"/>
    <w:rsid w:val="00A65907"/>
    <w:rsid w:val="00A65F8C"/>
    <w:rsid w:val="00A73938"/>
    <w:rsid w:val="00A75D93"/>
    <w:rsid w:val="00A77618"/>
    <w:rsid w:val="00A7785F"/>
    <w:rsid w:val="00A77F76"/>
    <w:rsid w:val="00A827B9"/>
    <w:rsid w:val="00A82C14"/>
    <w:rsid w:val="00A82CED"/>
    <w:rsid w:val="00A840D3"/>
    <w:rsid w:val="00AA0C37"/>
    <w:rsid w:val="00AA3B6A"/>
    <w:rsid w:val="00AA7EF9"/>
    <w:rsid w:val="00AB029D"/>
    <w:rsid w:val="00AB0793"/>
    <w:rsid w:val="00AB68B4"/>
    <w:rsid w:val="00AB74CD"/>
    <w:rsid w:val="00AC1D95"/>
    <w:rsid w:val="00AD1F97"/>
    <w:rsid w:val="00AD3D17"/>
    <w:rsid w:val="00AD5C80"/>
    <w:rsid w:val="00AD69DA"/>
    <w:rsid w:val="00AE1138"/>
    <w:rsid w:val="00AE3C86"/>
    <w:rsid w:val="00AE70E0"/>
    <w:rsid w:val="00AF6DA4"/>
    <w:rsid w:val="00AF7AB1"/>
    <w:rsid w:val="00B00F4A"/>
    <w:rsid w:val="00B1144D"/>
    <w:rsid w:val="00B114FB"/>
    <w:rsid w:val="00B11A08"/>
    <w:rsid w:val="00B13D4C"/>
    <w:rsid w:val="00B14119"/>
    <w:rsid w:val="00B158BB"/>
    <w:rsid w:val="00B15CB0"/>
    <w:rsid w:val="00B16F7D"/>
    <w:rsid w:val="00B20D64"/>
    <w:rsid w:val="00B25C83"/>
    <w:rsid w:val="00B26C14"/>
    <w:rsid w:val="00B31D29"/>
    <w:rsid w:val="00B32471"/>
    <w:rsid w:val="00B33C10"/>
    <w:rsid w:val="00B340AA"/>
    <w:rsid w:val="00B35B20"/>
    <w:rsid w:val="00B37E95"/>
    <w:rsid w:val="00B4042F"/>
    <w:rsid w:val="00B40D3A"/>
    <w:rsid w:val="00B4221F"/>
    <w:rsid w:val="00B43201"/>
    <w:rsid w:val="00B45C1B"/>
    <w:rsid w:val="00B50BC8"/>
    <w:rsid w:val="00B53E2F"/>
    <w:rsid w:val="00B5543C"/>
    <w:rsid w:val="00B653FF"/>
    <w:rsid w:val="00B720FE"/>
    <w:rsid w:val="00B72459"/>
    <w:rsid w:val="00B7648F"/>
    <w:rsid w:val="00B77AC9"/>
    <w:rsid w:val="00B85920"/>
    <w:rsid w:val="00B91A5C"/>
    <w:rsid w:val="00B9465F"/>
    <w:rsid w:val="00B96B2D"/>
    <w:rsid w:val="00BA0430"/>
    <w:rsid w:val="00BA085D"/>
    <w:rsid w:val="00BA272B"/>
    <w:rsid w:val="00BA63DC"/>
    <w:rsid w:val="00BB1577"/>
    <w:rsid w:val="00BC727C"/>
    <w:rsid w:val="00BD0B10"/>
    <w:rsid w:val="00BD3859"/>
    <w:rsid w:val="00BD6092"/>
    <w:rsid w:val="00BE008A"/>
    <w:rsid w:val="00BE3FB9"/>
    <w:rsid w:val="00BE4E98"/>
    <w:rsid w:val="00BF0672"/>
    <w:rsid w:val="00BF3B70"/>
    <w:rsid w:val="00BF3C6E"/>
    <w:rsid w:val="00BF527E"/>
    <w:rsid w:val="00C01B13"/>
    <w:rsid w:val="00C01BDE"/>
    <w:rsid w:val="00C01FAE"/>
    <w:rsid w:val="00C028EE"/>
    <w:rsid w:val="00C11D10"/>
    <w:rsid w:val="00C12087"/>
    <w:rsid w:val="00C3501F"/>
    <w:rsid w:val="00C36D2B"/>
    <w:rsid w:val="00C36F21"/>
    <w:rsid w:val="00C44D15"/>
    <w:rsid w:val="00C45793"/>
    <w:rsid w:val="00C6455F"/>
    <w:rsid w:val="00C64B02"/>
    <w:rsid w:val="00C65465"/>
    <w:rsid w:val="00C748F2"/>
    <w:rsid w:val="00C7770D"/>
    <w:rsid w:val="00C84F06"/>
    <w:rsid w:val="00C85239"/>
    <w:rsid w:val="00C9381D"/>
    <w:rsid w:val="00C95551"/>
    <w:rsid w:val="00C95EB9"/>
    <w:rsid w:val="00C961B4"/>
    <w:rsid w:val="00C97EF9"/>
    <w:rsid w:val="00CA1B65"/>
    <w:rsid w:val="00CA21FA"/>
    <w:rsid w:val="00CA6727"/>
    <w:rsid w:val="00CB17E0"/>
    <w:rsid w:val="00CB5688"/>
    <w:rsid w:val="00CB611D"/>
    <w:rsid w:val="00CE1369"/>
    <w:rsid w:val="00CE232E"/>
    <w:rsid w:val="00CE307B"/>
    <w:rsid w:val="00CE4566"/>
    <w:rsid w:val="00CE5C5D"/>
    <w:rsid w:val="00CE6CCB"/>
    <w:rsid w:val="00CE7DC3"/>
    <w:rsid w:val="00D007F0"/>
    <w:rsid w:val="00D01061"/>
    <w:rsid w:val="00D11B13"/>
    <w:rsid w:val="00D12B71"/>
    <w:rsid w:val="00D13B40"/>
    <w:rsid w:val="00D1697E"/>
    <w:rsid w:val="00D20D95"/>
    <w:rsid w:val="00D26A67"/>
    <w:rsid w:val="00D35F85"/>
    <w:rsid w:val="00D41250"/>
    <w:rsid w:val="00D45340"/>
    <w:rsid w:val="00D45BD9"/>
    <w:rsid w:val="00D4783D"/>
    <w:rsid w:val="00D50479"/>
    <w:rsid w:val="00D51910"/>
    <w:rsid w:val="00D53C75"/>
    <w:rsid w:val="00D64A1F"/>
    <w:rsid w:val="00D667B1"/>
    <w:rsid w:val="00D70C68"/>
    <w:rsid w:val="00D72314"/>
    <w:rsid w:val="00D8051C"/>
    <w:rsid w:val="00D81A3E"/>
    <w:rsid w:val="00D836CB"/>
    <w:rsid w:val="00D859C8"/>
    <w:rsid w:val="00D868D2"/>
    <w:rsid w:val="00D87282"/>
    <w:rsid w:val="00D963E9"/>
    <w:rsid w:val="00DA2DE5"/>
    <w:rsid w:val="00DA4E40"/>
    <w:rsid w:val="00DA5EA6"/>
    <w:rsid w:val="00DA6751"/>
    <w:rsid w:val="00DB0748"/>
    <w:rsid w:val="00DB0DBA"/>
    <w:rsid w:val="00DB10BF"/>
    <w:rsid w:val="00DB1916"/>
    <w:rsid w:val="00DB2DDB"/>
    <w:rsid w:val="00DB5446"/>
    <w:rsid w:val="00DB6261"/>
    <w:rsid w:val="00DB79DB"/>
    <w:rsid w:val="00DC52A6"/>
    <w:rsid w:val="00DD0323"/>
    <w:rsid w:val="00DD3850"/>
    <w:rsid w:val="00DD5ABB"/>
    <w:rsid w:val="00DE28F6"/>
    <w:rsid w:val="00DE3298"/>
    <w:rsid w:val="00DE7BB9"/>
    <w:rsid w:val="00DF3827"/>
    <w:rsid w:val="00DF4736"/>
    <w:rsid w:val="00DF513E"/>
    <w:rsid w:val="00DF5989"/>
    <w:rsid w:val="00E01D4A"/>
    <w:rsid w:val="00E06888"/>
    <w:rsid w:val="00E10F5E"/>
    <w:rsid w:val="00E1141F"/>
    <w:rsid w:val="00E11C56"/>
    <w:rsid w:val="00E12A66"/>
    <w:rsid w:val="00E17EDF"/>
    <w:rsid w:val="00E22FB3"/>
    <w:rsid w:val="00E24902"/>
    <w:rsid w:val="00E2677A"/>
    <w:rsid w:val="00E26AB1"/>
    <w:rsid w:val="00E337C9"/>
    <w:rsid w:val="00E40DFF"/>
    <w:rsid w:val="00E506AB"/>
    <w:rsid w:val="00E52053"/>
    <w:rsid w:val="00E525B9"/>
    <w:rsid w:val="00E534FF"/>
    <w:rsid w:val="00E64E0C"/>
    <w:rsid w:val="00E73F58"/>
    <w:rsid w:val="00E7533D"/>
    <w:rsid w:val="00E76F57"/>
    <w:rsid w:val="00E82FFC"/>
    <w:rsid w:val="00E83217"/>
    <w:rsid w:val="00E90A56"/>
    <w:rsid w:val="00E91353"/>
    <w:rsid w:val="00E91C83"/>
    <w:rsid w:val="00EA05CF"/>
    <w:rsid w:val="00EA122E"/>
    <w:rsid w:val="00EA1D34"/>
    <w:rsid w:val="00EA6749"/>
    <w:rsid w:val="00EB0EF7"/>
    <w:rsid w:val="00EB53AA"/>
    <w:rsid w:val="00EB758A"/>
    <w:rsid w:val="00EC2E94"/>
    <w:rsid w:val="00EC4A49"/>
    <w:rsid w:val="00ED26FD"/>
    <w:rsid w:val="00EE5147"/>
    <w:rsid w:val="00EF07AB"/>
    <w:rsid w:val="00EF4F0D"/>
    <w:rsid w:val="00EF69BD"/>
    <w:rsid w:val="00EF6A0A"/>
    <w:rsid w:val="00F02356"/>
    <w:rsid w:val="00F03320"/>
    <w:rsid w:val="00F10825"/>
    <w:rsid w:val="00F14258"/>
    <w:rsid w:val="00F172D6"/>
    <w:rsid w:val="00F202B0"/>
    <w:rsid w:val="00F23DE1"/>
    <w:rsid w:val="00F23F18"/>
    <w:rsid w:val="00F244FA"/>
    <w:rsid w:val="00F24E2F"/>
    <w:rsid w:val="00F2618C"/>
    <w:rsid w:val="00F32A2A"/>
    <w:rsid w:val="00F34E08"/>
    <w:rsid w:val="00F35DA2"/>
    <w:rsid w:val="00F37D29"/>
    <w:rsid w:val="00F40847"/>
    <w:rsid w:val="00F418E4"/>
    <w:rsid w:val="00F41D57"/>
    <w:rsid w:val="00F4336F"/>
    <w:rsid w:val="00F45611"/>
    <w:rsid w:val="00F47487"/>
    <w:rsid w:val="00F5390D"/>
    <w:rsid w:val="00F552A5"/>
    <w:rsid w:val="00F57229"/>
    <w:rsid w:val="00F61CCC"/>
    <w:rsid w:val="00F6246C"/>
    <w:rsid w:val="00F65882"/>
    <w:rsid w:val="00F72B0A"/>
    <w:rsid w:val="00F77B71"/>
    <w:rsid w:val="00F82532"/>
    <w:rsid w:val="00F84A87"/>
    <w:rsid w:val="00F928D3"/>
    <w:rsid w:val="00F93C41"/>
    <w:rsid w:val="00FA0E18"/>
    <w:rsid w:val="00FA3AA6"/>
    <w:rsid w:val="00FB1139"/>
    <w:rsid w:val="00FB3752"/>
    <w:rsid w:val="00FB7297"/>
    <w:rsid w:val="00FB7F2D"/>
    <w:rsid w:val="00FC22BE"/>
    <w:rsid w:val="00FC6F64"/>
    <w:rsid w:val="00FD0497"/>
    <w:rsid w:val="00FD0733"/>
    <w:rsid w:val="00FD520C"/>
    <w:rsid w:val="00FD7F09"/>
    <w:rsid w:val="00FE0ACE"/>
    <w:rsid w:val="00FE6BD8"/>
    <w:rsid w:val="00FF5104"/>
    <w:rsid w:val="00FF5A5D"/>
    <w:rsid w:val="010D48B2"/>
    <w:rsid w:val="044B23E7"/>
    <w:rsid w:val="0475758A"/>
    <w:rsid w:val="07436DE2"/>
    <w:rsid w:val="088268B6"/>
    <w:rsid w:val="09C17E40"/>
    <w:rsid w:val="0A0763CD"/>
    <w:rsid w:val="0AAA4A5F"/>
    <w:rsid w:val="0AE348F0"/>
    <w:rsid w:val="0B4142B6"/>
    <w:rsid w:val="0C310A9A"/>
    <w:rsid w:val="0CBE0324"/>
    <w:rsid w:val="0D300EFD"/>
    <w:rsid w:val="0D864F95"/>
    <w:rsid w:val="11612348"/>
    <w:rsid w:val="135F0E2F"/>
    <w:rsid w:val="14352B25"/>
    <w:rsid w:val="14A518B4"/>
    <w:rsid w:val="161B4F9F"/>
    <w:rsid w:val="168809D4"/>
    <w:rsid w:val="170A53A8"/>
    <w:rsid w:val="17932B89"/>
    <w:rsid w:val="1A0039E6"/>
    <w:rsid w:val="1AFF747C"/>
    <w:rsid w:val="1D393329"/>
    <w:rsid w:val="203235B2"/>
    <w:rsid w:val="20A7736C"/>
    <w:rsid w:val="21FB447D"/>
    <w:rsid w:val="236C3D66"/>
    <w:rsid w:val="25C456C4"/>
    <w:rsid w:val="26F30F76"/>
    <w:rsid w:val="271F52BE"/>
    <w:rsid w:val="27E46952"/>
    <w:rsid w:val="295E35EE"/>
    <w:rsid w:val="296C7AE2"/>
    <w:rsid w:val="2B261E32"/>
    <w:rsid w:val="2BD25613"/>
    <w:rsid w:val="2FDD7AFC"/>
    <w:rsid w:val="30A84B18"/>
    <w:rsid w:val="328667FF"/>
    <w:rsid w:val="36B553E1"/>
    <w:rsid w:val="37B36F71"/>
    <w:rsid w:val="3A381918"/>
    <w:rsid w:val="3AAD4EBC"/>
    <w:rsid w:val="3B920EE3"/>
    <w:rsid w:val="3E74514F"/>
    <w:rsid w:val="3EE16090"/>
    <w:rsid w:val="421F73D1"/>
    <w:rsid w:val="423116F2"/>
    <w:rsid w:val="429B5C66"/>
    <w:rsid w:val="432F5D92"/>
    <w:rsid w:val="44444B1A"/>
    <w:rsid w:val="44F71A76"/>
    <w:rsid w:val="46427F1D"/>
    <w:rsid w:val="47ED3D16"/>
    <w:rsid w:val="480E1EA0"/>
    <w:rsid w:val="4B95566E"/>
    <w:rsid w:val="4D9E658F"/>
    <w:rsid w:val="4E8136A6"/>
    <w:rsid w:val="50026718"/>
    <w:rsid w:val="52272223"/>
    <w:rsid w:val="54844BA4"/>
    <w:rsid w:val="549D59E2"/>
    <w:rsid w:val="554249B0"/>
    <w:rsid w:val="58DF3E09"/>
    <w:rsid w:val="5A6717D3"/>
    <w:rsid w:val="5C452FB7"/>
    <w:rsid w:val="5D305EE1"/>
    <w:rsid w:val="5DDB2A76"/>
    <w:rsid w:val="5F731544"/>
    <w:rsid w:val="60A547EB"/>
    <w:rsid w:val="60E72F89"/>
    <w:rsid w:val="61501401"/>
    <w:rsid w:val="615537C3"/>
    <w:rsid w:val="68324B07"/>
    <w:rsid w:val="68F90C84"/>
    <w:rsid w:val="690A5289"/>
    <w:rsid w:val="69DB133C"/>
    <w:rsid w:val="6AA9520C"/>
    <w:rsid w:val="6B120A22"/>
    <w:rsid w:val="6EBB0EBA"/>
    <w:rsid w:val="706B4886"/>
    <w:rsid w:val="70C64ADB"/>
    <w:rsid w:val="71132FC8"/>
    <w:rsid w:val="716653EA"/>
    <w:rsid w:val="72FA5CCD"/>
    <w:rsid w:val="731C40B6"/>
    <w:rsid w:val="74CF7F3F"/>
    <w:rsid w:val="74FB5D0D"/>
    <w:rsid w:val="75D228D5"/>
    <w:rsid w:val="76B344CD"/>
    <w:rsid w:val="7793618F"/>
    <w:rsid w:val="77EF2315"/>
    <w:rsid w:val="7A4816F5"/>
    <w:rsid w:val="7B9142FE"/>
    <w:rsid w:val="7BCA1FA7"/>
    <w:rsid w:val="7D5B191B"/>
    <w:rsid w:val="7D883202"/>
    <w:rsid w:val="7E3D40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Plain Text"/>
    <w:basedOn w:val="1"/>
    <w:link w:val="15"/>
    <w:qFormat/>
    <w:uiPriority w:val="0"/>
    <w:rPr>
      <w:rFonts w:ascii="宋体" w:hAnsi="Courier New" w:cs="Courier New"/>
      <w:szCs w:val="21"/>
    </w:rPr>
  </w:style>
  <w:style w:type="paragraph" w:styleId="4">
    <w:name w:val="Balloon Text"/>
    <w:basedOn w:val="1"/>
    <w:qFormat/>
    <w:uiPriority w:val="0"/>
    <w:rPr>
      <w:sz w:val="18"/>
    </w:r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paragraph" w:customStyle="1" w:styleId="11">
    <w:name w:val=" Char"/>
    <w:basedOn w:val="1"/>
    <w:qFormat/>
    <w:uiPriority w:val="0"/>
    <w:pPr>
      <w:numPr>
        <w:ilvl w:val="0"/>
        <w:numId w:val="1"/>
      </w:numPr>
    </w:pPr>
  </w:style>
  <w:style w:type="paragraph" w:customStyle="1" w:styleId="12">
    <w:name w:val="Char"/>
    <w:basedOn w:val="1"/>
    <w:qFormat/>
    <w:uiPriority w:val="0"/>
    <w:pPr>
      <w:numPr>
        <w:ilvl w:val="0"/>
        <w:numId w:val="2"/>
      </w:numPr>
    </w:pPr>
    <w:rPr>
      <w:sz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页眉 字符"/>
    <w:link w:val="6"/>
    <w:qFormat/>
    <w:uiPriority w:val="99"/>
    <w:rPr>
      <w:kern w:val="2"/>
      <w:sz w:val="18"/>
    </w:rPr>
  </w:style>
  <w:style w:type="character" w:customStyle="1" w:styleId="15">
    <w:name w:val="纯文本 字符"/>
    <w:link w:val="3"/>
    <w:qFormat/>
    <w:uiPriority w:val="0"/>
    <w:rPr>
      <w:rFonts w:ascii="宋体" w:hAnsi="Courier New" w:cs="Courier New"/>
      <w:kern w:val="2"/>
      <w:sz w:val="21"/>
      <w:szCs w:val="21"/>
    </w:rPr>
  </w:style>
  <w:style w:type="character" w:customStyle="1" w:styleId="16">
    <w:name w:val="纯文本 Char1"/>
    <w:semiHidden/>
    <w:qFormat/>
    <w:uiPriority w:val="99"/>
    <w:rPr>
      <w:rFonts w:ascii="宋体" w:hAnsi="Courier New" w:cs="Courier New"/>
      <w:kern w:val="2"/>
      <w:sz w:val="21"/>
      <w:szCs w:val="21"/>
    </w:rPr>
  </w:style>
  <w:style w:type="character" w:customStyle="1" w:styleId="17">
    <w:name w:val="页脚 字符"/>
    <w:link w:val="5"/>
    <w:qFormat/>
    <w:uiPriority w:val="99"/>
    <w:rPr>
      <w:kern w:val="2"/>
      <w:sz w:val="18"/>
    </w:rPr>
  </w:style>
  <w:style w:type="character" w:customStyle="1" w:styleId="18">
    <w:name w:val=" Char Char"/>
    <w:qFormat/>
    <w:uiPriority w:val="0"/>
    <w:rPr>
      <w:rFonts w:eastAsia="宋体"/>
      <w:kern w:val="2"/>
      <w:sz w:val="18"/>
      <w:lang w:val="en-US" w:eastAsia="zh-CN"/>
    </w:rPr>
  </w:style>
  <w:style w:type="character" w:customStyle="1" w:styleId="1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415</Words>
  <Characters>2368</Characters>
  <Lines>19</Lines>
  <Paragraphs>5</Paragraphs>
  <TotalTime>1</TotalTime>
  <ScaleCrop>false</ScaleCrop>
  <LinksUpToDate>false</LinksUpToDate>
  <CharactersWithSpaces>2778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2019-06-19T08:12:00Z</dcterms:created>
  <dc:creator>ctcjw</dc:creator>
  <cp:lastModifiedBy>LIL</cp:lastModifiedBy>
  <cp:lastPrinted>2016-03-24T09:28:00Z</cp:lastPrinted>
  <dcterms:modified xsi:type="dcterms:W3CDTF">2020-05-09T23:11:06Z</dcterms:modified>
  <dc:title>审 核 计 划(二阶段/监督/再认证/其他)</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