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94" w:afterLines="30"/>
        <w:jc w:val="center"/>
        <w:rPr>
          <w:rFonts w:ascii="楷体" w:hAnsi="楷体" w:eastAsia="楷体"/>
          <w:b/>
          <w:color w:val="000000" w:themeColor="text1"/>
          <w:sz w:val="84"/>
          <w:szCs w:val="84"/>
        </w:rPr>
      </w:pPr>
    </w:p>
    <w:p>
      <w:pPr>
        <w:snapToGrid w:val="0"/>
        <w:spacing w:after="94" w:afterLines="30"/>
        <w:jc w:val="center"/>
        <w:rPr>
          <w:rFonts w:ascii="楷体" w:hAnsi="楷体" w:eastAsia="楷体"/>
          <w:b/>
          <w:color w:val="000000" w:themeColor="text1"/>
          <w:sz w:val="84"/>
          <w:szCs w:val="84"/>
        </w:rPr>
      </w:pPr>
      <w:r>
        <w:rPr>
          <w:rFonts w:ascii="楷体" w:hAnsi="楷体" w:eastAsia="楷体"/>
          <w:b/>
          <w:color w:val="000000" w:themeColor="text1"/>
          <w:sz w:val="84"/>
          <w:szCs w:val="84"/>
        </w:rPr>
        <w:drawing>
          <wp:inline distT="0" distB="0" distL="0" distR="0">
            <wp:extent cx="1887220" cy="1887220"/>
            <wp:effectExtent l="19050" t="0" r="0"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 - 副本.jpg"/>
                    <pic:cNvPicPr>
                      <a:picLocks noChangeAspect="1"/>
                    </pic:cNvPicPr>
                  </pic:nvPicPr>
                  <pic:blipFill>
                    <a:blip r:embed="rId5"/>
                    <a:stretch>
                      <a:fillRect/>
                    </a:stretch>
                  </pic:blipFill>
                  <pic:spPr>
                    <a:xfrm>
                      <a:off x="0" y="0"/>
                      <a:ext cx="1887913" cy="1887913"/>
                    </a:xfrm>
                    <a:prstGeom prst="rect">
                      <a:avLst/>
                    </a:prstGeom>
                  </pic:spPr>
                </pic:pic>
              </a:graphicData>
            </a:graphic>
          </wp:inline>
        </w:drawing>
      </w:r>
    </w:p>
    <w:p>
      <w:pPr>
        <w:snapToGrid w:val="0"/>
        <w:spacing w:after="94" w:afterLines="30"/>
        <w:jc w:val="center"/>
        <w:rPr>
          <w:rFonts w:ascii="楷体" w:hAnsi="楷体" w:eastAsia="楷体"/>
          <w:b/>
          <w:color w:val="000000" w:themeColor="text1"/>
          <w:sz w:val="52"/>
          <w:szCs w:val="52"/>
        </w:rPr>
      </w:pPr>
    </w:p>
    <w:p>
      <w:pPr>
        <w:snapToGrid w:val="0"/>
        <w:spacing w:after="94" w:afterLines="30"/>
        <w:jc w:val="center"/>
        <w:rPr>
          <w:rFonts w:ascii="楷体" w:hAnsi="楷体" w:eastAsia="楷体"/>
          <w:b/>
          <w:color w:val="000000" w:themeColor="text1"/>
          <w:sz w:val="52"/>
          <w:szCs w:val="52"/>
        </w:rPr>
      </w:pPr>
    </w:p>
    <w:p>
      <w:pPr>
        <w:snapToGrid w:val="0"/>
        <w:spacing w:after="94" w:afterLines="30"/>
        <w:jc w:val="center"/>
        <w:rPr>
          <w:rFonts w:ascii="楷体" w:hAnsi="楷体" w:eastAsia="楷体"/>
          <w:b/>
          <w:color w:val="000000" w:themeColor="text1"/>
          <w:sz w:val="52"/>
          <w:szCs w:val="52"/>
        </w:rPr>
      </w:pPr>
      <w:r>
        <w:rPr>
          <w:rFonts w:hint="eastAsia" w:ascii="楷体" w:hAnsi="楷体" w:eastAsia="楷体"/>
          <w:b/>
          <w:color w:val="000000" w:themeColor="text1"/>
          <w:sz w:val="52"/>
          <w:szCs w:val="52"/>
        </w:rPr>
        <w:t>管理体系审核报告</w:t>
      </w:r>
    </w:p>
    <w:p>
      <w:pPr>
        <w:snapToGrid w:val="0"/>
        <w:spacing w:after="94" w:afterLines="30"/>
        <w:jc w:val="center"/>
        <w:rPr>
          <w:rFonts w:ascii="楷体" w:hAnsi="楷体" w:eastAsia="楷体"/>
          <w:b/>
          <w:color w:val="000000" w:themeColor="text1"/>
          <w:sz w:val="36"/>
          <w:szCs w:val="36"/>
        </w:rPr>
      </w:pPr>
    </w:p>
    <w:p>
      <w:pPr>
        <w:snapToGrid w:val="0"/>
        <w:spacing w:after="94" w:afterLines="30"/>
        <w:jc w:val="center"/>
        <w:rPr>
          <w:rFonts w:ascii="楷体" w:hAnsi="楷体" w:eastAsia="楷体"/>
          <w:b/>
          <w:color w:val="000000" w:themeColor="text1"/>
          <w:sz w:val="36"/>
          <w:szCs w:val="36"/>
        </w:rPr>
      </w:pPr>
    </w:p>
    <w:p>
      <w:pPr>
        <w:snapToGrid w:val="0"/>
        <w:spacing w:after="94" w:afterLines="30"/>
        <w:jc w:val="center"/>
        <w:rPr>
          <w:rFonts w:ascii="楷体" w:hAnsi="楷体" w:eastAsia="楷体"/>
          <w:b/>
          <w:color w:val="000000" w:themeColor="text1"/>
          <w:sz w:val="32"/>
          <w:szCs w:val="32"/>
        </w:rPr>
      </w:pPr>
    </w:p>
    <w:p>
      <w:pPr>
        <w:snapToGrid w:val="0"/>
        <w:spacing w:after="94" w:afterLines="30"/>
        <w:ind w:firstLine="321" w:firstLineChars="100"/>
        <w:rPr>
          <w:rFonts w:ascii="楷体" w:hAnsi="楷体" w:eastAsia="楷体"/>
          <w:b/>
          <w:color w:val="000000" w:themeColor="text1"/>
          <w:sz w:val="32"/>
          <w:szCs w:val="32"/>
          <w:u w:val="single"/>
        </w:rPr>
      </w:pPr>
      <w:r>
        <w:rPr>
          <w:rFonts w:hint="eastAsia" w:ascii="楷体" w:hAnsi="楷体" w:eastAsia="楷体"/>
          <w:b/>
          <w:color w:val="000000" w:themeColor="text1"/>
          <w:sz w:val="32"/>
          <w:szCs w:val="32"/>
        </w:rPr>
        <w:t>受审核方：</w:t>
      </w:r>
      <w:bookmarkStart w:id="0" w:name="组织名称"/>
      <w:r>
        <w:rPr>
          <w:rFonts w:ascii="楷体" w:hAnsi="楷体" w:eastAsia="楷体"/>
          <w:b/>
          <w:color w:val="000000" w:themeColor="text1"/>
          <w:sz w:val="32"/>
          <w:szCs w:val="32"/>
          <w:u w:val="single"/>
        </w:rPr>
        <w:t>江西金信科技集团有限公司</w:t>
      </w:r>
      <w:bookmarkEnd w:id="0"/>
    </w:p>
    <w:p>
      <w:pPr>
        <w:snapToGrid w:val="0"/>
        <w:spacing w:after="94" w:afterLines="30"/>
        <w:ind w:firstLine="1928" w:firstLineChars="600"/>
        <w:rPr>
          <w:rFonts w:ascii="楷体" w:hAnsi="楷体" w:eastAsia="楷体"/>
          <w:b/>
          <w:color w:val="000000" w:themeColor="text1"/>
          <w:sz w:val="32"/>
          <w:szCs w:val="32"/>
        </w:rPr>
      </w:pPr>
    </w:p>
    <w:p>
      <w:pPr>
        <w:snapToGrid w:val="0"/>
        <w:spacing w:after="94" w:afterLines="30"/>
        <w:ind w:firstLine="321" w:firstLineChars="100"/>
        <w:rPr>
          <w:rFonts w:ascii="楷体" w:hAnsi="楷体" w:eastAsia="楷体"/>
          <w:b/>
          <w:color w:val="000000" w:themeColor="text1"/>
          <w:sz w:val="32"/>
          <w:szCs w:val="32"/>
        </w:rPr>
      </w:pPr>
      <w:r>
        <w:rPr>
          <w:rFonts w:hint="eastAsia" w:ascii="楷体" w:hAnsi="楷体" w:eastAsia="楷体"/>
          <w:b/>
          <w:color w:val="000000" w:themeColor="text1"/>
          <w:sz w:val="32"/>
          <w:szCs w:val="32"/>
        </w:rPr>
        <w:t>审核体系：</w:t>
      </w:r>
    </w:p>
    <w:p>
      <w:pPr>
        <w:snapToGrid w:val="0"/>
        <w:spacing w:after="94" w:afterLines="30"/>
        <w:ind w:firstLine="957" w:firstLineChars="298"/>
        <w:rPr>
          <w:rFonts w:ascii="楷体" w:hAnsi="楷体" w:eastAsia="楷体"/>
          <w:b/>
          <w:color w:val="000000" w:themeColor="text1"/>
          <w:sz w:val="32"/>
          <w:szCs w:val="32"/>
        </w:rPr>
      </w:pPr>
      <w:bookmarkStart w:id="1" w:name="Q勾选"/>
      <w:r>
        <w:rPr>
          <w:rFonts w:hint="eastAsia" w:ascii="楷体" w:hAnsi="楷体" w:eastAsia="楷体"/>
          <w:b/>
          <w:color w:val="000000" w:themeColor="text1"/>
          <w:sz w:val="32"/>
          <w:szCs w:val="32"/>
        </w:rPr>
        <w:t>■</w:t>
      </w:r>
      <w:bookmarkEnd w:id="1"/>
      <w:r>
        <w:rPr>
          <w:rFonts w:hint="eastAsia" w:ascii="楷体" w:hAnsi="楷体" w:eastAsia="楷体"/>
          <w:b/>
          <w:color w:val="000000" w:themeColor="text1"/>
          <w:sz w:val="32"/>
          <w:szCs w:val="32"/>
        </w:rPr>
        <w:t>质量管理体系（QMS）</w:t>
      </w:r>
    </w:p>
    <w:p>
      <w:pPr>
        <w:snapToGrid w:val="0"/>
        <w:spacing w:after="94" w:afterLines="30"/>
        <w:ind w:firstLine="957" w:firstLineChars="298"/>
        <w:rPr>
          <w:rFonts w:ascii="楷体" w:hAnsi="楷体" w:eastAsia="楷体"/>
          <w:b/>
          <w:color w:val="000000" w:themeColor="text1"/>
          <w:sz w:val="32"/>
          <w:szCs w:val="32"/>
        </w:rPr>
      </w:pPr>
      <w:bookmarkStart w:id="2" w:name="E勾选"/>
      <w:r>
        <w:rPr>
          <w:rFonts w:hint="eastAsia" w:ascii="楷体" w:hAnsi="楷体" w:eastAsia="楷体"/>
          <w:b/>
          <w:color w:val="000000" w:themeColor="text1"/>
          <w:sz w:val="32"/>
          <w:szCs w:val="32"/>
        </w:rPr>
        <w:t>■</w:t>
      </w:r>
      <w:bookmarkEnd w:id="2"/>
      <w:r>
        <w:rPr>
          <w:rFonts w:hint="eastAsia" w:ascii="楷体" w:hAnsi="楷体" w:eastAsia="楷体"/>
          <w:b/>
          <w:color w:val="000000" w:themeColor="text1"/>
          <w:sz w:val="32"/>
          <w:szCs w:val="32"/>
        </w:rPr>
        <w:t>环境管理体系（EMS）</w:t>
      </w:r>
    </w:p>
    <w:p>
      <w:pPr>
        <w:snapToGrid w:val="0"/>
        <w:spacing w:after="94" w:afterLines="30"/>
        <w:ind w:firstLine="957" w:firstLineChars="298"/>
        <w:rPr>
          <w:rFonts w:ascii="楷体" w:hAnsi="楷体" w:eastAsia="楷体"/>
          <w:b/>
          <w:color w:val="000000" w:themeColor="text1"/>
          <w:sz w:val="32"/>
          <w:szCs w:val="32"/>
        </w:rPr>
      </w:pPr>
      <w:bookmarkStart w:id="3" w:name="S勾选"/>
      <w:r>
        <w:rPr>
          <w:rFonts w:hint="eastAsia" w:ascii="楷体" w:hAnsi="楷体" w:eastAsia="楷体"/>
          <w:b/>
          <w:color w:val="000000" w:themeColor="text1"/>
          <w:sz w:val="32"/>
          <w:szCs w:val="32"/>
        </w:rPr>
        <w:t>■</w:t>
      </w:r>
      <w:bookmarkEnd w:id="3"/>
      <w:r>
        <w:rPr>
          <w:rFonts w:hint="eastAsia" w:ascii="楷体" w:hAnsi="楷体" w:eastAsia="楷体"/>
          <w:b/>
          <w:color w:val="000000" w:themeColor="text1"/>
          <w:sz w:val="32"/>
          <w:szCs w:val="32"/>
        </w:rPr>
        <w:t>职业健康安全管理体系（OHSMS）</w:t>
      </w:r>
    </w:p>
    <w:p>
      <w:pPr>
        <w:snapToGrid w:val="0"/>
        <w:spacing w:after="94" w:afterLines="30"/>
        <w:jc w:val="center"/>
        <w:rPr>
          <w:rFonts w:ascii="楷体" w:hAnsi="楷体" w:eastAsia="楷体"/>
          <w:b/>
          <w:color w:val="000000" w:themeColor="text1"/>
          <w:sz w:val="84"/>
          <w:szCs w:val="84"/>
        </w:rPr>
      </w:pPr>
    </w:p>
    <w:p>
      <w:pPr>
        <w:snapToGrid w:val="0"/>
        <w:spacing w:after="94" w:afterLines="30"/>
        <w:jc w:val="center"/>
        <w:rPr>
          <w:rFonts w:ascii="楷体" w:hAnsi="楷体" w:eastAsia="楷体"/>
          <w:b/>
          <w:color w:val="000000" w:themeColor="text1"/>
          <w:sz w:val="36"/>
          <w:szCs w:val="36"/>
        </w:rPr>
      </w:pPr>
      <w:r>
        <w:rPr>
          <w:rFonts w:hint="eastAsia" w:ascii="华文楷体" w:hAnsi="华文楷体" w:eastAsia="华文楷体" w:cs="华文楷体"/>
          <w:b/>
          <w:color w:val="000000" w:themeColor="text1"/>
          <w:sz w:val="36"/>
          <w:szCs w:val="36"/>
        </w:rPr>
        <w:t xml:space="preserve">   北京</w:t>
      </w:r>
      <w:r>
        <w:rPr>
          <w:rFonts w:hint="eastAsia" w:ascii="华文楷体" w:hAnsi="华文楷体" w:eastAsia="华文楷体" w:cs="华文楷体"/>
          <w:b/>
          <w:color w:val="000000"/>
          <w:sz w:val="36"/>
          <w:szCs w:val="36"/>
        </w:rPr>
        <w:t>国标联合</w:t>
      </w:r>
      <w:r>
        <w:rPr>
          <w:rFonts w:hint="eastAsia" w:ascii="华文楷体" w:hAnsi="华文楷体" w:eastAsia="华文楷体" w:cs="华文楷体"/>
          <w:b/>
          <w:color w:val="000000" w:themeColor="text1"/>
          <w:sz w:val="36"/>
          <w:szCs w:val="36"/>
        </w:rPr>
        <w:t>认证有限公司</w:t>
      </w:r>
    </w:p>
    <w:p>
      <w:pPr>
        <w:widowControl/>
        <w:ind w:firstLine="2172" w:firstLineChars="601"/>
        <w:jc w:val="left"/>
        <w:rPr>
          <w:rFonts w:ascii="楷体" w:hAnsi="楷体" w:eastAsia="楷体"/>
          <w:b/>
          <w:color w:val="000000" w:themeColor="text1"/>
          <w:sz w:val="36"/>
          <w:szCs w:val="36"/>
        </w:rPr>
      </w:pPr>
      <w:r>
        <w:rPr>
          <w:rFonts w:hint="eastAsia" w:ascii="楷体" w:hAnsi="楷体" w:eastAsia="楷体"/>
          <w:b/>
          <w:color w:val="000000" w:themeColor="text1"/>
          <w:sz w:val="36"/>
          <w:szCs w:val="36"/>
        </w:rPr>
        <w:t>网址：</w:t>
      </w:r>
      <w:r>
        <w:fldChar w:fldCharType="begin"/>
      </w:r>
      <w:r>
        <w:instrText xml:space="preserve"> HYPERLINK "http://www.china-isc.org.cn" </w:instrText>
      </w:r>
      <w:r>
        <w:fldChar w:fldCharType="separate"/>
      </w:r>
      <w:r>
        <w:rPr>
          <w:rStyle w:val="9"/>
          <w:rFonts w:hint="eastAsia" w:ascii="楷体" w:hAnsi="楷体" w:eastAsia="楷体"/>
          <w:b/>
          <w:sz w:val="36"/>
          <w:szCs w:val="36"/>
        </w:rPr>
        <w:t>www.china-isc.org.cn</w:t>
      </w:r>
      <w:r>
        <w:fldChar w:fldCharType="end"/>
      </w:r>
    </w:p>
    <w:p>
      <w:pPr>
        <w:pStyle w:val="10"/>
        <w:numPr>
          <w:ilvl w:val="0"/>
          <w:numId w:val="1"/>
        </w:numPr>
        <w:ind w:left="-142" w:hanging="709" w:firstLineChars="0"/>
        <w:rPr>
          <w:rFonts w:ascii="宋体" w:hAnsi="宋体"/>
          <w:b/>
          <w:color w:val="000000" w:themeColor="text1"/>
          <w:sz w:val="26"/>
          <w:szCs w:val="26"/>
        </w:rPr>
      </w:pPr>
      <w:r>
        <w:rPr>
          <w:rFonts w:hint="eastAsia" w:ascii="宋体" w:hAnsi="宋体"/>
          <w:b/>
          <w:color w:val="000000" w:themeColor="text1"/>
          <w:sz w:val="26"/>
          <w:szCs w:val="26"/>
        </w:rPr>
        <w:t>审核方基本信息</w:t>
      </w:r>
    </w:p>
    <w:tbl>
      <w:tblPr>
        <w:tblStyle w:val="6"/>
        <w:tblW w:w="986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47"/>
        <w:gridCol w:w="992"/>
        <w:gridCol w:w="1216"/>
        <w:gridCol w:w="2328"/>
        <w:gridCol w:w="1134"/>
        <w:gridCol w:w="16"/>
        <w:gridCol w:w="692"/>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697" w:type="dxa"/>
            <w:vAlign w:val="center"/>
          </w:tcPr>
          <w:p>
            <w:pPr>
              <w:rPr>
                <w:b/>
                <w:color w:val="000000" w:themeColor="text1"/>
                <w:sz w:val="20"/>
                <w:szCs w:val="20"/>
              </w:rPr>
            </w:pPr>
            <w:r>
              <w:rPr>
                <w:rFonts w:hint="eastAsia"/>
                <w:b/>
                <w:color w:val="000000" w:themeColor="text1"/>
                <w:sz w:val="20"/>
                <w:szCs w:val="20"/>
              </w:rPr>
              <w:t>审核方名称</w:t>
            </w:r>
          </w:p>
        </w:tc>
        <w:tc>
          <w:tcPr>
            <w:tcW w:w="8166" w:type="dxa"/>
            <w:gridSpan w:val="8"/>
            <w:vAlign w:val="center"/>
          </w:tcPr>
          <w:p>
            <w:pPr>
              <w:rPr>
                <w:b/>
                <w:color w:val="000000" w:themeColor="text1"/>
                <w:sz w:val="20"/>
                <w:szCs w:val="20"/>
              </w:rPr>
            </w:pPr>
            <w:r>
              <w:rPr>
                <w:rFonts w:hint="eastAsia"/>
                <w:b/>
                <w:color w:val="000000" w:themeColor="text1"/>
                <w:sz w:val="20"/>
                <w:szCs w:val="20"/>
              </w:rPr>
              <w:t>北京国标联合认证有限公司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97" w:type="dxa"/>
            <w:vAlign w:val="center"/>
          </w:tcPr>
          <w:p>
            <w:pPr>
              <w:rPr>
                <w:b/>
                <w:color w:val="000000" w:themeColor="text1"/>
                <w:sz w:val="20"/>
                <w:szCs w:val="20"/>
              </w:rPr>
            </w:pPr>
            <w:r>
              <w:rPr>
                <w:rFonts w:hint="eastAsia"/>
                <w:b/>
                <w:color w:val="000000" w:themeColor="text1"/>
                <w:sz w:val="20"/>
                <w:szCs w:val="20"/>
              </w:rPr>
              <w:t>审核方地址</w:t>
            </w:r>
          </w:p>
        </w:tc>
        <w:tc>
          <w:tcPr>
            <w:tcW w:w="5833" w:type="dxa"/>
            <w:gridSpan w:val="6"/>
            <w:vAlign w:val="center"/>
          </w:tcPr>
          <w:p>
            <w:pPr>
              <w:rPr>
                <w:b/>
                <w:color w:val="000000" w:themeColor="text1"/>
                <w:sz w:val="20"/>
                <w:szCs w:val="20"/>
              </w:rPr>
            </w:pPr>
            <w:r>
              <w:rPr>
                <w:rFonts w:hint="eastAsia"/>
                <w:b/>
                <w:color w:val="000000" w:themeColor="text1"/>
                <w:sz w:val="20"/>
                <w:szCs w:val="20"/>
              </w:rPr>
              <w:t>北京市朝阳区北苑路168号1号楼16层1603</w:t>
            </w:r>
          </w:p>
        </w:tc>
        <w:tc>
          <w:tcPr>
            <w:tcW w:w="692" w:type="dxa"/>
            <w:vAlign w:val="center"/>
          </w:tcPr>
          <w:p>
            <w:pPr>
              <w:rPr>
                <w:b/>
                <w:color w:val="000000" w:themeColor="text1"/>
                <w:sz w:val="20"/>
                <w:szCs w:val="20"/>
              </w:rPr>
            </w:pPr>
            <w:r>
              <w:rPr>
                <w:rFonts w:hint="eastAsia"/>
                <w:b/>
                <w:color w:val="000000" w:themeColor="text1"/>
                <w:sz w:val="20"/>
                <w:szCs w:val="20"/>
              </w:rPr>
              <w:t>邮编</w:t>
            </w:r>
          </w:p>
        </w:tc>
        <w:tc>
          <w:tcPr>
            <w:tcW w:w="1641" w:type="dxa"/>
            <w:vAlign w:val="center"/>
          </w:tcPr>
          <w:p>
            <w:pPr>
              <w:rPr>
                <w:b/>
                <w:color w:val="000000" w:themeColor="text1"/>
                <w:sz w:val="20"/>
                <w:szCs w:val="20"/>
              </w:rPr>
            </w:pPr>
            <w:r>
              <w:rPr>
                <w:rFonts w:hint="eastAsia"/>
                <w:b/>
                <w:color w:val="000000" w:themeColor="text1"/>
                <w:sz w:val="20"/>
                <w:szCs w:val="20"/>
              </w:rPr>
              <w:t>100101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97" w:type="dxa"/>
            <w:vAlign w:val="center"/>
          </w:tcPr>
          <w:p>
            <w:pPr>
              <w:rPr>
                <w:b/>
                <w:color w:val="000000" w:themeColor="text1"/>
                <w:sz w:val="20"/>
                <w:szCs w:val="20"/>
              </w:rPr>
            </w:pPr>
            <w:r>
              <w:rPr>
                <w:rFonts w:hint="eastAsia"/>
                <w:b/>
                <w:color w:val="000000" w:themeColor="text1"/>
                <w:sz w:val="20"/>
                <w:szCs w:val="20"/>
              </w:rPr>
              <w:t>联系电话</w:t>
            </w:r>
          </w:p>
        </w:tc>
        <w:tc>
          <w:tcPr>
            <w:tcW w:w="4683" w:type="dxa"/>
            <w:gridSpan w:val="4"/>
            <w:vAlign w:val="center"/>
          </w:tcPr>
          <w:p>
            <w:pPr>
              <w:rPr>
                <w:color w:val="000000" w:themeColor="text1"/>
                <w:sz w:val="20"/>
                <w:szCs w:val="20"/>
              </w:rPr>
            </w:pPr>
            <w:r>
              <w:rPr>
                <w:rFonts w:hint="eastAsia"/>
                <w:color w:val="000000" w:themeColor="text1"/>
                <w:sz w:val="20"/>
                <w:szCs w:val="20"/>
              </w:rPr>
              <w:t>010-5351 6278</w:t>
            </w:r>
          </w:p>
        </w:tc>
        <w:tc>
          <w:tcPr>
            <w:tcW w:w="1134" w:type="dxa"/>
            <w:vAlign w:val="center"/>
          </w:tcPr>
          <w:p>
            <w:pPr>
              <w:rPr>
                <w:b/>
                <w:color w:val="000000" w:themeColor="text1"/>
                <w:sz w:val="20"/>
                <w:szCs w:val="20"/>
              </w:rPr>
            </w:pPr>
            <w:r>
              <w:rPr>
                <w:rFonts w:hint="eastAsia"/>
                <w:b/>
                <w:color w:val="000000" w:themeColor="text1"/>
                <w:sz w:val="20"/>
                <w:szCs w:val="20"/>
              </w:rPr>
              <w:t>邮箱</w:t>
            </w:r>
          </w:p>
        </w:tc>
        <w:tc>
          <w:tcPr>
            <w:tcW w:w="2349" w:type="dxa"/>
            <w:gridSpan w:val="3"/>
            <w:vAlign w:val="center"/>
          </w:tcPr>
          <w:p>
            <w:pPr>
              <w:rPr>
                <w:color w:val="000000" w:themeColor="text1"/>
                <w:sz w:val="18"/>
                <w:szCs w:val="18"/>
              </w:rPr>
            </w:pPr>
            <w:r>
              <w:rPr>
                <w:color w:val="000000" w:themeColor="text1"/>
                <w:sz w:val="18"/>
                <w:szCs w:val="18"/>
              </w:rPr>
              <w:t>service@china-isc.org.cn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63" w:type="dxa"/>
            <w:gridSpan w:val="9"/>
            <w:vAlign w:val="center"/>
          </w:tcPr>
          <w:p>
            <w:pPr>
              <w:rPr>
                <w:b/>
                <w:color w:val="000000" w:themeColor="text1"/>
                <w:sz w:val="20"/>
                <w:szCs w:val="20"/>
              </w:rPr>
            </w:pPr>
            <w:r>
              <w:rPr>
                <w:rFonts w:hint="eastAsia"/>
                <w:b/>
                <w:color w:val="000000" w:themeColor="text1"/>
                <w:sz w:val="20"/>
                <w:szCs w:val="20"/>
              </w:rPr>
              <w:t>审核组成员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44" w:type="dxa"/>
            <w:gridSpan w:val="2"/>
            <w:vAlign w:val="center"/>
          </w:tcPr>
          <w:p>
            <w:pPr>
              <w:spacing w:line="240" w:lineRule="exact"/>
              <w:jc w:val="center"/>
              <w:rPr>
                <w:b/>
                <w:color w:val="000000" w:themeColor="text1"/>
                <w:sz w:val="20"/>
                <w:szCs w:val="20"/>
              </w:rPr>
            </w:pPr>
            <w:r>
              <w:rPr>
                <w:rFonts w:hint="eastAsia"/>
                <w:sz w:val="18"/>
                <w:szCs w:val="18"/>
              </w:rPr>
              <w:t>姓名</w:t>
            </w:r>
          </w:p>
        </w:tc>
        <w:tc>
          <w:tcPr>
            <w:tcW w:w="992" w:type="dxa"/>
            <w:vAlign w:val="center"/>
          </w:tcPr>
          <w:p>
            <w:pPr>
              <w:spacing w:line="240" w:lineRule="exact"/>
              <w:jc w:val="center"/>
              <w:rPr>
                <w:b/>
                <w:color w:val="000000" w:themeColor="text1"/>
                <w:sz w:val="20"/>
                <w:szCs w:val="20"/>
              </w:rPr>
            </w:pPr>
            <w:r>
              <w:rPr>
                <w:rFonts w:hint="eastAsia"/>
                <w:sz w:val="18"/>
                <w:szCs w:val="18"/>
              </w:rPr>
              <w:t>组内身份</w:t>
            </w:r>
          </w:p>
        </w:tc>
        <w:tc>
          <w:tcPr>
            <w:tcW w:w="1216" w:type="dxa"/>
            <w:vAlign w:val="center"/>
          </w:tcPr>
          <w:p>
            <w:pPr>
              <w:spacing w:line="240" w:lineRule="exact"/>
              <w:jc w:val="center"/>
              <w:rPr>
                <w:b/>
                <w:color w:val="000000" w:themeColor="text1"/>
                <w:sz w:val="20"/>
                <w:szCs w:val="20"/>
              </w:rPr>
            </w:pPr>
            <w:r>
              <w:rPr>
                <w:rFonts w:hint="eastAsia"/>
                <w:sz w:val="18"/>
                <w:szCs w:val="18"/>
              </w:rPr>
              <w:t>性别</w:t>
            </w:r>
          </w:p>
        </w:tc>
        <w:tc>
          <w:tcPr>
            <w:tcW w:w="3478" w:type="dxa"/>
            <w:gridSpan w:val="3"/>
            <w:vAlign w:val="center"/>
          </w:tcPr>
          <w:p>
            <w:pPr>
              <w:spacing w:line="240" w:lineRule="exact"/>
              <w:jc w:val="center"/>
              <w:rPr>
                <w:b/>
                <w:color w:val="000000" w:themeColor="text1"/>
                <w:sz w:val="20"/>
                <w:szCs w:val="20"/>
              </w:rPr>
            </w:pPr>
            <w:r>
              <w:rPr>
                <w:rFonts w:hint="eastAsia"/>
                <w:sz w:val="18"/>
                <w:szCs w:val="18"/>
              </w:rPr>
              <w:t>注册资格</w:t>
            </w:r>
          </w:p>
        </w:tc>
        <w:tc>
          <w:tcPr>
            <w:tcW w:w="2333" w:type="dxa"/>
            <w:gridSpan w:val="2"/>
            <w:vAlign w:val="center"/>
          </w:tcPr>
          <w:p>
            <w:pPr>
              <w:spacing w:line="240" w:lineRule="exact"/>
              <w:jc w:val="center"/>
              <w:rPr>
                <w:b/>
                <w:color w:val="000000" w:themeColor="text1"/>
                <w:sz w:val="20"/>
                <w:szCs w:val="20"/>
              </w:rPr>
            </w:pPr>
            <w:r>
              <w:rPr>
                <w:rFonts w:hint="eastAsia"/>
                <w:sz w:val="18"/>
                <w:szCs w:val="18"/>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44" w:type="dxa"/>
            <w:gridSpan w:val="2"/>
            <w:vAlign w:val="center"/>
          </w:tcPr>
          <w:p>
            <w:pPr>
              <w:spacing w:line="240" w:lineRule="exact"/>
              <w:jc w:val="center"/>
              <w:rPr>
                <w:b/>
                <w:color w:val="000000" w:themeColor="text1"/>
                <w:sz w:val="20"/>
                <w:szCs w:val="20"/>
              </w:rPr>
            </w:pPr>
            <w:r>
              <w:rPr>
                <w:b/>
                <w:color w:val="000000" w:themeColor="text1"/>
                <w:sz w:val="20"/>
                <w:szCs w:val="20"/>
              </w:rPr>
              <w:t>伍光华</w:t>
            </w:r>
          </w:p>
        </w:tc>
        <w:tc>
          <w:tcPr>
            <w:tcW w:w="992" w:type="dxa"/>
            <w:vAlign w:val="center"/>
          </w:tcPr>
          <w:p>
            <w:pPr>
              <w:spacing w:line="240" w:lineRule="exact"/>
              <w:jc w:val="center"/>
              <w:rPr>
                <w:b/>
                <w:color w:val="000000" w:themeColor="text1"/>
                <w:sz w:val="20"/>
                <w:szCs w:val="20"/>
              </w:rPr>
            </w:pPr>
            <w:r>
              <w:rPr>
                <w:b/>
                <w:color w:val="000000" w:themeColor="text1"/>
                <w:sz w:val="20"/>
                <w:szCs w:val="20"/>
              </w:rPr>
              <w:t>组长</w:t>
            </w:r>
          </w:p>
        </w:tc>
        <w:tc>
          <w:tcPr>
            <w:tcW w:w="1216" w:type="dxa"/>
            <w:vAlign w:val="center"/>
          </w:tcPr>
          <w:p>
            <w:pPr>
              <w:spacing w:line="240" w:lineRule="exact"/>
              <w:jc w:val="center"/>
              <w:rPr>
                <w:b/>
                <w:color w:val="000000" w:themeColor="text1"/>
                <w:sz w:val="20"/>
                <w:szCs w:val="20"/>
              </w:rPr>
            </w:pPr>
            <w:r>
              <w:rPr>
                <w:b/>
                <w:color w:val="000000" w:themeColor="text1"/>
                <w:sz w:val="20"/>
                <w:szCs w:val="20"/>
              </w:rPr>
              <w:t>男</w:t>
            </w:r>
          </w:p>
        </w:tc>
        <w:tc>
          <w:tcPr>
            <w:tcW w:w="3478" w:type="dxa"/>
            <w:gridSpan w:val="3"/>
            <w:vAlign w:val="center"/>
          </w:tcPr>
          <w:p>
            <w:pPr>
              <w:spacing w:line="240" w:lineRule="exact"/>
              <w:jc w:val="center"/>
              <w:rPr>
                <w:b/>
                <w:color w:val="000000" w:themeColor="text1"/>
                <w:sz w:val="20"/>
                <w:szCs w:val="20"/>
              </w:rPr>
            </w:pPr>
            <w:r>
              <w:rPr>
                <w:b/>
                <w:color w:val="000000" w:themeColor="text1"/>
                <w:sz w:val="20"/>
                <w:szCs w:val="20"/>
              </w:rPr>
              <w:t>Q:审核员</w:t>
            </w:r>
          </w:p>
          <w:p>
            <w:pPr>
              <w:spacing w:line="240" w:lineRule="exact"/>
              <w:jc w:val="center"/>
              <w:rPr>
                <w:b/>
                <w:color w:val="000000" w:themeColor="text1"/>
                <w:sz w:val="20"/>
                <w:szCs w:val="20"/>
              </w:rPr>
            </w:pPr>
            <w:r>
              <w:rPr>
                <w:b/>
                <w:color w:val="000000" w:themeColor="text1"/>
                <w:sz w:val="20"/>
                <w:szCs w:val="20"/>
              </w:rPr>
              <w:t>E:审核员</w:t>
            </w:r>
          </w:p>
          <w:p>
            <w:pPr>
              <w:spacing w:line="240" w:lineRule="exact"/>
              <w:jc w:val="center"/>
              <w:rPr>
                <w:b/>
                <w:color w:val="000000" w:themeColor="text1"/>
                <w:sz w:val="20"/>
                <w:szCs w:val="20"/>
              </w:rPr>
            </w:pPr>
            <w:r>
              <w:rPr>
                <w:b/>
                <w:color w:val="000000" w:themeColor="text1"/>
                <w:sz w:val="20"/>
                <w:szCs w:val="20"/>
              </w:rPr>
              <w:t>O:审核员</w:t>
            </w:r>
          </w:p>
        </w:tc>
        <w:tc>
          <w:tcPr>
            <w:tcW w:w="2333" w:type="dxa"/>
            <w:gridSpan w:val="2"/>
            <w:vAlign w:val="center"/>
          </w:tcPr>
          <w:p>
            <w:pPr>
              <w:spacing w:line="240" w:lineRule="exact"/>
              <w:jc w:val="center"/>
              <w:rPr>
                <w:b/>
                <w:color w:val="000000" w:themeColor="text1"/>
                <w:sz w:val="20"/>
                <w:szCs w:val="20"/>
              </w:rPr>
            </w:pPr>
            <w:r>
              <w:rPr>
                <w:b/>
                <w:color w:val="000000" w:themeColor="text1"/>
                <w:sz w:val="20"/>
                <w:szCs w:val="20"/>
              </w:rPr>
              <w:t>Q:17.06.02,17.12.05,23.01.01,29.10.07</w:t>
            </w:r>
          </w:p>
          <w:p>
            <w:pPr>
              <w:spacing w:line="240" w:lineRule="exact"/>
              <w:jc w:val="center"/>
              <w:rPr>
                <w:b/>
                <w:color w:val="000000" w:themeColor="text1"/>
                <w:sz w:val="20"/>
                <w:szCs w:val="20"/>
              </w:rPr>
            </w:pPr>
            <w:r>
              <w:rPr>
                <w:b/>
                <w:color w:val="000000" w:themeColor="text1"/>
                <w:sz w:val="20"/>
                <w:szCs w:val="20"/>
              </w:rPr>
              <w:t>E:17.06.02,17.12.05,23.01.01,29.10.07</w:t>
            </w:r>
          </w:p>
          <w:p>
            <w:pPr>
              <w:spacing w:line="240" w:lineRule="exact"/>
              <w:jc w:val="center"/>
              <w:rPr>
                <w:b/>
                <w:color w:val="000000" w:themeColor="text1"/>
                <w:sz w:val="20"/>
                <w:szCs w:val="20"/>
              </w:rPr>
            </w:pPr>
            <w:r>
              <w:rPr>
                <w:b/>
                <w:color w:val="000000" w:themeColor="text1"/>
                <w:sz w:val="20"/>
                <w:szCs w:val="20"/>
              </w:rPr>
              <w:t>O:17.06.02,17.12.05,23.01.01,29.10.07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44" w:type="dxa"/>
            <w:gridSpan w:val="2"/>
            <w:vAlign w:val="center"/>
          </w:tcPr>
          <w:p>
            <w:pPr>
              <w:spacing w:line="240" w:lineRule="exact"/>
              <w:jc w:val="center"/>
              <w:rPr>
                <w:b/>
                <w:color w:val="000000" w:themeColor="text1"/>
                <w:sz w:val="20"/>
                <w:szCs w:val="20"/>
              </w:rPr>
            </w:pPr>
            <w:r>
              <w:rPr>
                <w:b/>
                <w:color w:val="000000" w:themeColor="text1"/>
                <w:sz w:val="20"/>
                <w:szCs w:val="20"/>
              </w:rPr>
              <w:t>文波</w:t>
            </w:r>
          </w:p>
        </w:tc>
        <w:tc>
          <w:tcPr>
            <w:tcW w:w="992" w:type="dxa"/>
            <w:vAlign w:val="center"/>
          </w:tcPr>
          <w:p>
            <w:pPr>
              <w:spacing w:line="240" w:lineRule="exact"/>
              <w:jc w:val="center"/>
              <w:rPr>
                <w:b/>
                <w:color w:val="000000" w:themeColor="text1"/>
                <w:sz w:val="20"/>
                <w:szCs w:val="20"/>
              </w:rPr>
            </w:pPr>
            <w:r>
              <w:rPr>
                <w:b/>
                <w:color w:val="000000" w:themeColor="text1"/>
                <w:sz w:val="20"/>
                <w:szCs w:val="20"/>
              </w:rPr>
              <w:t>组员</w:t>
            </w:r>
          </w:p>
        </w:tc>
        <w:tc>
          <w:tcPr>
            <w:tcW w:w="1216" w:type="dxa"/>
            <w:vAlign w:val="center"/>
          </w:tcPr>
          <w:p>
            <w:pPr>
              <w:spacing w:line="240" w:lineRule="exact"/>
              <w:jc w:val="center"/>
              <w:rPr>
                <w:b/>
                <w:color w:val="000000" w:themeColor="text1"/>
                <w:sz w:val="20"/>
                <w:szCs w:val="20"/>
              </w:rPr>
            </w:pPr>
            <w:r>
              <w:rPr>
                <w:b/>
                <w:color w:val="000000" w:themeColor="text1"/>
                <w:sz w:val="20"/>
                <w:szCs w:val="20"/>
              </w:rPr>
              <w:t>男</w:t>
            </w:r>
          </w:p>
        </w:tc>
        <w:tc>
          <w:tcPr>
            <w:tcW w:w="3478" w:type="dxa"/>
            <w:gridSpan w:val="3"/>
            <w:vAlign w:val="center"/>
          </w:tcPr>
          <w:p>
            <w:pPr>
              <w:spacing w:line="240" w:lineRule="exact"/>
              <w:jc w:val="center"/>
              <w:rPr>
                <w:b/>
                <w:color w:val="000000" w:themeColor="text1"/>
                <w:sz w:val="20"/>
                <w:szCs w:val="20"/>
              </w:rPr>
            </w:pPr>
            <w:r>
              <w:rPr>
                <w:b/>
                <w:color w:val="000000" w:themeColor="text1"/>
                <w:sz w:val="20"/>
                <w:szCs w:val="20"/>
              </w:rPr>
              <w:t>Q:审核员</w:t>
            </w:r>
          </w:p>
          <w:p>
            <w:pPr>
              <w:spacing w:line="240" w:lineRule="exact"/>
              <w:jc w:val="center"/>
              <w:rPr>
                <w:b/>
                <w:color w:val="000000" w:themeColor="text1"/>
                <w:sz w:val="20"/>
                <w:szCs w:val="20"/>
              </w:rPr>
            </w:pPr>
            <w:r>
              <w:rPr>
                <w:b/>
                <w:color w:val="000000" w:themeColor="text1"/>
                <w:sz w:val="20"/>
                <w:szCs w:val="20"/>
              </w:rPr>
              <w:t>E:审核员</w:t>
            </w:r>
          </w:p>
          <w:p>
            <w:pPr>
              <w:spacing w:line="240" w:lineRule="exact"/>
              <w:jc w:val="center"/>
              <w:rPr>
                <w:b/>
                <w:color w:val="000000" w:themeColor="text1"/>
                <w:sz w:val="20"/>
                <w:szCs w:val="20"/>
              </w:rPr>
            </w:pPr>
            <w:r>
              <w:rPr>
                <w:b/>
                <w:color w:val="000000" w:themeColor="text1"/>
                <w:sz w:val="20"/>
                <w:szCs w:val="20"/>
              </w:rPr>
              <w:t>O:实习审核员</w:t>
            </w:r>
          </w:p>
        </w:tc>
        <w:tc>
          <w:tcPr>
            <w:tcW w:w="2333" w:type="dxa"/>
            <w:gridSpan w:val="2"/>
            <w:vAlign w:val="center"/>
          </w:tcPr>
          <w:p>
            <w:pPr>
              <w:spacing w:line="240" w:lineRule="exact"/>
              <w:jc w:val="center"/>
              <w:rPr>
                <w:b/>
                <w:color w:val="000000" w:themeColor="text1"/>
                <w:sz w:val="20"/>
                <w:szCs w:val="20"/>
              </w:rPr>
            </w:pPr>
            <w:r>
              <w:rPr>
                <w:b/>
                <w:color w:val="000000" w:themeColor="text1"/>
                <w:sz w:val="20"/>
                <w:szCs w:val="20"/>
              </w:rPr>
              <w:t>Q:17.06.02,17.12.05,23.01.01</w:t>
            </w:r>
          </w:p>
          <w:p>
            <w:pPr>
              <w:spacing w:line="240" w:lineRule="exact"/>
              <w:jc w:val="center"/>
              <w:rPr>
                <w:b/>
                <w:color w:val="000000" w:themeColor="text1"/>
                <w:sz w:val="20"/>
                <w:szCs w:val="20"/>
              </w:rPr>
            </w:pPr>
            <w:r>
              <w:rPr>
                <w:b/>
                <w:color w:val="000000" w:themeColor="text1"/>
                <w:sz w:val="20"/>
                <w:szCs w:val="20"/>
              </w:rPr>
              <w:t>E:17.06.02,17.12.05,23.01.01</w:t>
            </w:r>
          </w:p>
          <w:p>
            <w:pPr>
              <w:spacing w:line="240" w:lineRule="exact"/>
              <w:jc w:val="center"/>
              <w:rPr>
                <w:b/>
                <w:color w:val="000000" w:themeColor="text1"/>
                <w:sz w:val="20"/>
                <w:szCs w:val="20"/>
              </w:rPr>
            </w:pPr>
            <w:r>
              <w:rPr>
                <w:b/>
                <w:color w:val="000000" w:themeColor="text1"/>
                <w:sz w:val="20"/>
                <w:szCs w:val="20"/>
              </w:rPr>
              <w:t>O:17.12.05,23.01.01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44" w:type="dxa"/>
            <w:gridSpan w:val="2"/>
            <w:vAlign w:val="center"/>
          </w:tcPr>
          <w:p>
            <w:pPr>
              <w:rPr>
                <w:b/>
                <w:color w:val="000000" w:themeColor="text1"/>
                <w:sz w:val="20"/>
                <w:szCs w:val="20"/>
              </w:rPr>
            </w:pPr>
          </w:p>
        </w:tc>
        <w:tc>
          <w:tcPr>
            <w:tcW w:w="992" w:type="dxa"/>
            <w:vAlign w:val="center"/>
          </w:tcPr>
          <w:p>
            <w:pPr>
              <w:rPr>
                <w:b/>
                <w:color w:val="000000" w:themeColor="text1"/>
                <w:sz w:val="20"/>
                <w:szCs w:val="20"/>
              </w:rPr>
            </w:pPr>
          </w:p>
        </w:tc>
        <w:tc>
          <w:tcPr>
            <w:tcW w:w="1216" w:type="dxa"/>
            <w:vAlign w:val="center"/>
          </w:tcPr>
          <w:p>
            <w:pPr>
              <w:rPr>
                <w:b/>
                <w:color w:val="000000" w:themeColor="text1"/>
                <w:sz w:val="20"/>
                <w:szCs w:val="20"/>
              </w:rPr>
            </w:pPr>
          </w:p>
        </w:tc>
        <w:tc>
          <w:tcPr>
            <w:tcW w:w="3478" w:type="dxa"/>
            <w:gridSpan w:val="3"/>
            <w:vAlign w:val="center"/>
          </w:tcPr>
          <w:p>
            <w:pPr>
              <w:rPr>
                <w:b/>
                <w:color w:val="000000" w:themeColor="text1"/>
                <w:sz w:val="20"/>
                <w:szCs w:val="20"/>
              </w:rPr>
            </w:pPr>
          </w:p>
        </w:tc>
        <w:tc>
          <w:tcPr>
            <w:tcW w:w="2333" w:type="dxa"/>
            <w:gridSpan w:val="2"/>
            <w:vAlign w:val="center"/>
          </w:tcPr>
          <w:p>
            <w:pPr>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844" w:type="dxa"/>
            <w:gridSpan w:val="2"/>
            <w:vAlign w:val="center"/>
          </w:tcPr>
          <w:p>
            <w:pPr>
              <w:rPr>
                <w:b/>
                <w:color w:val="000000" w:themeColor="text1"/>
                <w:sz w:val="20"/>
                <w:szCs w:val="20"/>
              </w:rPr>
            </w:pPr>
          </w:p>
        </w:tc>
        <w:tc>
          <w:tcPr>
            <w:tcW w:w="992" w:type="dxa"/>
            <w:vAlign w:val="center"/>
          </w:tcPr>
          <w:p>
            <w:pPr>
              <w:rPr>
                <w:b/>
                <w:color w:val="000000" w:themeColor="text1"/>
                <w:sz w:val="20"/>
                <w:szCs w:val="20"/>
              </w:rPr>
            </w:pPr>
          </w:p>
        </w:tc>
        <w:tc>
          <w:tcPr>
            <w:tcW w:w="1216" w:type="dxa"/>
            <w:vAlign w:val="center"/>
          </w:tcPr>
          <w:p>
            <w:pPr>
              <w:rPr>
                <w:b/>
                <w:color w:val="000000" w:themeColor="text1"/>
                <w:sz w:val="20"/>
                <w:szCs w:val="20"/>
              </w:rPr>
            </w:pPr>
          </w:p>
        </w:tc>
        <w:tc>
          <w:tcPr>
            <w:tcW w:w="3478" w:type="dxa"/>
            <w:gridSpan w:val="3"/>
            <w:vAlign w:val="center"/>
          </w:tcPr>
          <w:p>
            <w:pPr>
              <w:rPr>
                <w:b/>
                <w:color w:val="000000" w:themeColor="text1"/>
                <w:sz w:val="20"/>
                <w:szCs w:val="20"/>
              </w:rPr>
            </w:pPr>
          </w:p>
        </w:tc>
        <w:tc>
          <w:tcPr>
            <w:tcW w:w="2333" w:type="dxa"/>
            <w:gridSpan w:val="2"/>
            <w:vAlign w:val="center"/>
          </w:tcPr>
          <w:p>
            <w:pPr>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b/>
                <w:color w:val="000000" w:themeColor="text1"/>
                <w:sz w:val="20"/>
                <w:szCs w:val="20"/>
              </w:rPr>
            </w:pPr>
          </w:p>
        </w:tc>
        <w:tc>
          <w:tcPr>
            <w:tcW w:w="992" w:type="dxa"/>
            <w:vAlign w:val="center"/>
          </w:tcPr>
          <w:p>
            <w:pPr>
              <w:rPr>
                <w:b/>
                <w:color w:val="000000" w:themeColor="text1"/>
                <w:sz w:val="20"/>
                <w:szCs w:val="20"/>
              </w:rPr>
            </w:pPr>
          </w:p>
        </w:tc>
        <w:tc>
          <w:tcPr>
            <w:tcW w:w="1216" w:type="dxa"/>
            <w:vAlign w:val="center"/>
          </w:tcPr>
          <w:p>
            <w:pPr>
              <w:rPr>
                <w:b/>
                <w:color w:val="000000" w:themeColor="text1"/>
                <w:sz w:val="20"/>
                <w:szCs w:val="20"/>
              </w:rPr>
            </w:pPr>
          </w:p>
        </w:tc>
        <w:tc>
          <w:tcPr>
            <w:tcW w:w="3478" w:type="dxa"/>
            <w:gridSpan w:val="3"/>
            <w:vAlign w:val="center"/>
          </w:tcPr>
          <w:p>
            <w:pPr>
              <w:rPr>
                <w:b/>
                <w:color w:val="000000" w:themeColor="text1"/>
                <w:sz w:val="20"/>
                <w:szCs w:val="20"/>
              </w:rPr>
            </w:pPr>
          </w:p>
        </w:tc>
        <w:tc>
          <w:tcPr>
            <w:tcW w:w="2333" w:type="dxa"/>
            <w:gridSpan w:val="2"/>
            <w:vAlign w:val="center"/>
          </w:tcPr>
          <w:p>
            <w:pPr>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863" w:type="dxa"/>
            <w:gridSpan w:val="9"/>
            <w:vAlign w:val="center"/>
          </w:tcPr>
          <w:p>
            <w:pPr>
              <w:rPr>
                <w:b/>
                <w:color w:val="000000" w:themeColor="text1"/>
                <w:sz w:val="20"/>
                <w:szCs w:val="20"/>
              </w:rPr>
            </w:pPr>
            <w:r>
              <w:rPr>
                <w:rFonts w:hint="eastAsia"/>
                <w:b/>
                <w:color w:val="000000" w:themeColor="text1"/>
                <w:sz w:val="20"/>
                <w:szCs w:val="20"/>
              </w:rPr>
              <w:t>与审核组同行人员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b/>
                <w:color w:val="000000" w:themeColor="text1"/>
                <w:sz w:val="20"/>
                <w:szCs w:val="20"/>
              </w:rPr>
            </w:pPr>
            <w:r>
              <w:rPr>
                <w:rFonts w:hint="eastAsia"/>
                <w:b/>
                <w:color w:val="000000" w:themeColor="text1"/>
                <w:sz w:val="20"/>
                <w:szCs w:val="20"/>
              </w:rPr>
              <w:t>姓名</w:t>
            </w:r>
          </w:p>
        </w:tc>
        <w:tc>
          <w:tcPr>
            <w:tcW w:w="992" w:type="dxa"/>
            <w:vAlign w:val="center"/>
          </w:tcPr>
          <w:p>
            <w:pPr>
              <w:rPr>
                <w:b/>
                <w:color w:val="000000" w:themeColor="text1"/>
                <w:sz w:val="20"/>
                <w:szCs w:val="20"/>
              </w:rPr>
            </w:pPr>
            <w:r>
              <w:rPr>
                <w:rFonts w:hint="eastAsia"/>
                <w:b/>
                <w:color w:val="000000" w:themeColor="text1"/>
                <w:sz w:val="20"/>
                <w:szCs w:val="20"/>
              </w:rPr>
              <w:t>性别</w:t>
            </w:r>
          </w:p>
        </w:tc>
        <w:tc>
          <w:tcPr>
            <w:tcW w:w="1216" w:type="dxa"/>
            <w:vAlign w:val="center"/>
          </w:tcPr>
          <w:p>
            <w:pPr>
              <w:rPr>
                <w:b/>
                <w:color w:val="000000" w:themeColor="text1"/>
                <w:sz w:val="20"/>
                <w:szCs w:val="20"/>
              </w:rPr>
            </w:pPr>
            <w:r>
              <w:rPr>
                <w:rFonts w:hint="eastAsia"/>
                <w:b/>
                <w:color w:val="000000" w:themeColor="text1"/>
                <w:sz w:val="20"/>
                <w:szCs w:val="20"/>
              </w:rPr>
              <w:t>角色</w:t>
            </w:r>
          </w:p>
        </w:tc>
        <w:tc>
          <w:tcPr>
            <w:tcW w:w="3478" w:type="dxa"/>
            <w:gridSpan w:val="3"/>
            <w:vAlign w:val="center"/>
          </w:tcPr>
          <w:p>
            <w:pPr>
              <w:rPr>
                <w:b/>
                <w:color w:val="000000" w:themeColor="text1"/>
                <w:sz w:val="20"/>
                <w:szCs w:val="20"/>
              </w:rPr>
            </w:pPr>
            <w:r>
              <w:rPr>
                <w:rFonts w:hint="eastAsia"/>
                <w:b/>
                <w:color w:val="000000" w:themeColor="text1"/>
                <w:sz w:val="20"/>
                <w:szCs w:val="20"/>
              </w:rPr>
              <w:t>工作单位</w:t>
            </w:r>
          </w:p>
        </w:tc>
        <w:tc>
          <w:tcPr>
            <w:tcW w:w="2333" w:type="dxa"/>
            <w:gridSpan w:val="2"/>
            <w:vAlign w:val="center"/>
          </w:tcPr>
          <w:p>
            <w:pPr>
              <w:rPr>
                <w:b/>
                <w:color w:val="000000" w:themeColor="text1"/>
                <w:sz w:val="20"/>
                <w:szCs w:val="20"/>
              </w:rPr>
            </w:pPr>
            <w:r>
              <w:rPr>
                <w:rFonts w:hint="eastAsia"/>
                <w:b/>
                <w:color w:val="000000" w:themeColor="text1"/>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b/>
                <w:color w:val="000000" w:themeColor="text1"/>
              </w:rPr>
            </w:pPr>
          </w:p>
        </w:tc>
        <w:tc>
          <w:tcPr>
            <w:tcW w:w="992" w:type="dxa"/>
            <w:vAlign w:val="center"/>
          </w:tcPr>
          <w:p>
            <w:pPr>
              <w:rPr>
                <w:b/>
                <w:color w:val="000000" w:themeColor="text1"/>
              </w:rPr>
            </w:pPr>
          </w:p>
        </w:tc>
        <w:tc>
          <w:tcPr>
            <w:tcW w:w="1216" w:type="dxa"/>
            <w:vAlign w:val="center"/>
          </w:tcPr>
          <w:p>
            <w:pPr>
              <w:rPr>
                <w:b/>
                <w:color w:val="000000" w:themeColor="text1"/>
              </w:rPr>
            </w:pPr>
          </w:p>
        </w:tc>
        <w:tc>
          <w:tcPr>
            <w:tcW w:w="3478" w:type="dxa"/>
            <w:gridSpan w:val="3"/>
            <w:vAlign w:val="center"/>
          </w:tcPr>
          <w:p>
            <w:pPr>
              <w:rPr>
                <w:b/>
                <w:color w:val="000000" w:themeColor="text1"/>
              </w:rPr>
            </w:pPr>
          </w:p>
        </w:tc>
        <w:tc>
          <w:tcPr>
            <w:tcW w:w="2333" w:type="dxa"/>
            <w:gridSpan w:val="2"/>
            <w:vAlign w:val="center"/>
          </w:tcPr>
          <w:p>
            <w:pPr>
              <w:rPr>
                <w:b/>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b/>
                <w:color w:val="000000" w:themeColor="text1"/>
              </w:rPr>
            </w:pPr>
          </w:p>
        </w:tc>
        <w:tc>
          <w:tcPr>
            <w:tcW w:w="992" w:type="dxa"/>
            <w:vAlign w:val="center"/>
          </w:tcPr>
          <w:p>
            <w:pPr>
              <w:rPr>
                <w:b/>
                <w:color w:val="000000" w:themeColor="text1"/>
              </w:rPr>
            </w:pPr>
          </w:p>
        </w:tc>
        <w:tc>
          <w:tcPr>
            <w:tcW w:w="1216" w:type="dxa"/>
            <w:vAlign w:val="center"/>
          </w:tcPr>
          <w:p>
            <w:pPr>
              <w:rPr>
                <w:b/>
                <w:color w:val="000000" w:themeColor="text1"/>
              </w:rPr>
            </w:pPr>
          </w:p>
        </w:tc>
        <w:tc>
          <w:tcPr>
            <w:tcW w:w="3478" w:type="dxa"/>
            <w:gridSpan w:val="3"/>
            <w:vAlign w:val="center"/>
          </w:tcPr>
          <w:p>
            <w:pPr>
              <w:rPr>
                <w:b/>
                <w:color w:val="000000" w:themeColor="text1"/>
              </w:rPr>
            </w:pPr>
          </w:p>
        </w:tc>
        <w:tc>
          <w:tcPr>
            <w:tcW w:w="2333" w:type="dxa"/>
            <w:gridSpan w:val="2"/>
            <w:vAlign w:val="center"/>
          </w:tcPr>
          <w:p>
            <w:pPr>
              <w:rPr>
                <w:b/>
                <w:color w:val="000000" w:themeColor="text1"/>
              </w:rPr>
            </w:pPr>
          </w:p>
        </w:tc>
      </w:tr>
    </w:tbl>
    <w:p>
      <w:pPr>
        <w:pStyle w:val="10"/>
        <w:numPr>
          <w:ilvl w:val="0"/>
          <w:numId w:val="1"/>
        </w:numPr>
        <w:ind w:left="-142" w:hanging="709" w:firstLineChars="0"/>
        <w:rPr>
          <w:rFonts w:ascii="宋体" w:hAnsi="宋体"/>
          <w:b/>
          <w:color w:val="000000" w:themeColor="text1"/>
          <w:sz w:val="26"/>
          <w:szCs w:val="26"/>
        </w:rPr>
      </w:pPr>
      <w:r>
        <w:rPr>
          <w:rFonts w:hint="eastAsia" w:ascii="宋体" w:hAnsi="宋体"/>
          <w:b/>
          <w:color w:val="000000" w:themeColor="text1"/>
          <w:sz w:val="26"/>
          <w:szCs w:val="26"/>
        </w:rPr>
        <w:t>审核目的</w:t>
      </w:r>
    </w:p>
    <w:tbl>
      <w:tblPr>
        <w:tblStyle w:val="7"/>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7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cs="宋体" w:hAnsiTheme="minorHAnsi"/>
                <w:color w:val="000000" w:themeColor="text1"/>
                <w:kern w:val="0"/>
                <w:sz w:val="20"/>
                <w:szCs w:val="20"/>
              </w:rPr>
            </w:pPr>
            <w:r>
              <w:rPr>
                <w:rFonts w:hint="eastAsia" w:ascii="宋体" w:cs="宋体" w:hAnsiTheme="minorHAnsi"/>
                <w:color w:val="000000" w:themeColor="text1"/>
                <w:kern w:val="0"/>
                <w:sz w:val="20"/>
                <w:szCs w:val="20"/>
                <w:lang w:eastAsia="zh-CN"/>
              </w:rPr>
              <w:t>☑</w:t>
            </w:r>
            <w:r>
              <w:rPr>
                <w:rFonts w:ascii="宋体" w:cs="宋体" w:hAnsiTheme="minorHAnsi"/>
                <w:color w:val="000000" w:themeColor="text1"/>
                <w:kern w:val="0"/>
                <w:sz w:val="20"/>
                <w:szCs w:val="20"/>
              </w:rPr>
              <w:t>QMS/</w:t>
            </w:r>
            <w:r>
              <w:rPr>
                <w:rFonts w:hint="eastAsia" w:ascii="宋体" w:cs="宋体" w:hAnsiTheme="minorHAnsi"/>
                <w:color w:val="000000" w:themeColor="text1"/>
                <w:kern w:val="0"/>
                <w:sz w:val="20"/>
                <w:szCs w:val="20"/>
                <w:lang w:eastAsia="zh-CN"/>
              </w:rPr>
              <w:t>☑</w:t>
            </w:r>
            <w:r>
              <w:rPr>
                <w:rFonts w:ascii="宋体" w:cs="宋体" w:hAnsiTheme="minorHAnsi"/>
                <w:color w:val="000000" w:themeColor="text1"/>
                <w:kern w:val="0"/>
                <w:sz w:val="20"/>
                <w:szCs w:val="20"/>
              </w:rPr>
              <w:t>EMS/</w:t>
            </w:r>
            <w:r>
              <w:rPr>
                <w:rFonts w:hint="eastAsia" w:ascii="宋体" w:cs="宋体" w:hAnsiTheme="minorHAnsi"/>
                <w:color w:val="000000" w:themeColor="text1"/>
                <w:kern w:val="0"/>
                <w:sz w:val="20"/>
                <w:szCs w:val="20"/>
                <w:lang w:eastAsia="zh-CN"/>
              </w:rPr>
              <w:t>☑</w:t>
            </w:r>
            <w:r>
              <w:rPr>
                <w:rFonts w:ascii="宋体" w:cs="宋体" w:hAnsiTheme="minorHAnsi"/>
                <w:color w:val="000000" w:themeColor="text1"/>
                <w:kern w:val="0"/>
                <w:sz w:val="20"/>
                <w:szCs w:val="20"/>
              </w:rPr>
              <w:t>OHSMS</w:t>
            </w:r>
          </w:p>
          <w:p>
            <w:pPr>
              <w:rPr>
                <w:rFonts w:ascii="宋体" w:hAnsi="宋体"/>
                <w:b/>
                <w:color w:val="000000" w:themeColor="text1"/>
                <w:sz w:val="20"/>
                <w:szCs w:val="20"/>
              </w:rPr>
            </w:pPr>
            <w:r>
              <w:rPr>
                <w:rFonts w:hint="eastAsia" w:ascii="宋体" w:cs="宋体" w:hAnsiTheme="minorHAnsi"/>
                <w:color w:val="000000" w:themeColor="text1"/>
                <w:kern w:val="0"/>
                <w:sz w:val="20"/>
                <w:szCs w:val="20"/>
              </w:rPr>
              <w:t>第二阶段审核：</w:t>
            </w:r>
          </w:p>
        </w:tc>
        <w:tc>
          <w:tcPr>
            <w:tcW w:w="7654" w:type="dxa"/>
            <w:vAlign w:val="center"/>
          </w:tcPr>
          <w:p>
            <w:pPr>
              <w:autoSpaceDE w:val="0"/>
              <w:autoSpaceDN w:val="0"/>
              <w:adjustRightInd w:val="0"/>
              <w:jc w:val="left"/>
              <w:rPr>
                <w:rFonts w:ascii="宋体" w:cs="宋体" w:hAnsiTheme="minorHAnsi"/>
                <w:color w:val="000000" w:themeColor="text1"/>
                <w:kern w:val="0"/>
                <w:sz w:val="20"/>
                <w:szCs w:val="20"/>
              </w:rPr>
            </w:pPr>
            <w:r>
              <w:rPr>
                <w:rFonts w:hint="eastAsia" w:ascii="宋体" w:cs="宋体" w:hAnsiTheme="minorHAnsi"/>
                <w:color w:val="000000" w:themeColor="text1"/>
                <w:kern w:val="0"/>
                <w:sz w:val="20"/>
                <w:szCs w:val="20"/>
              </w:rPr>
              <w:t>评价组织管理体系建立、实施运行的符合性及有效性，以确定是否推荐认证注册。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cs="宋体" w:hAnsiTheme="minorHAnsi"/>
                <w:color w:val="000000" w:themeColor="text1"/>
                <w:kern w:val="0"/>
                <w:sz w:val="20"/>
                <w:szCs w:val="20"/>
              </w:rPr>
            </w:pP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QMS/</w:t>
            </w: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EMS/</w:t>
            </w: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OHSMS</w:t>
            </w:r>
          </w:p>
          <w:p>
            <w:pPr>
              <w:rPr>
                <w:rFonts w:ascii="宋体" w:hAnsi="宋体"/>
                <w:b/>
                <w:color w:val="000000" w:themeColor="text1"/>
                <w:sz w:val="20"/>
                <w:szCs w:val="20"/>
              </w:rPr>
            </w:pPr>
            <w:r>
              <w:rPr>
                <w:rFonts w:hint="eastAsia" w:ascii="宋体" w:cs="宋体" w:hAnsiTheme="minorHAnsi"/>
                <w:color w:val="000000" w:themeColor="text1"/>
                <w:kern w:val="0"/>
                <w:sz w:val="20"/>
                <w:szCs w:val="20"/>
              </w:rPr>
              <w:t>再认证审核：</w:t>
            </w:r>
          </w:p>
        </w:tc>
        <w:tc>
          <w:tcPr>
            <w:tcW w:w="7654" w:type="dxa"/>
          </w:tcPr>
          <w:p>
            <w:pPr>
              <w:rPr>
                <w:rFonts w:ascii="宋体" w:hAnsi="宋体"/>
                <w:b/>
                <w:color w:val="000000" w:themeColor="text1"/>
                <w:sz w:val="20"/>
                <w:szCs w:val="20"/>
              </w:rPr>
            </w:pPr>
            <w:r>
              <w:rPr>
                <w:rFonts w:hint="eastAsia" w:ascii="宋体" w:cs="宋体" w:hAnsiTheme="minorHAnsi"/>
                <w:color w:val="000000" w:themeColor="text1"/>
                <w:kern w:val="0"/>
                <w:sz w:val="20"/>
                <w:szCs w:val="20"/>
              </w:rPr>
              <w:t>评价组织管理体系整体的持续符合性和有效性，以确定是否推荐更新认证并换发认证证书。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hAnsi="宋体"/>
                <w:b/>
                <w:color w:val="000000" w:themeColor="text1"/>
                <w:sz w:val="20"/>
                <w:szCs w:val="20"/>
              </w:rPr>
            </w:pPr>
            <w:r>
              <w:rPr>
                <w:rFonts w:hint="eastAsia" w:ascii="宋体" w:cs="宋体" w:hAnsiTheme="minorHAnsi"/>
                <w:color w:val="000000" w:themeColor="text1"/>
                <w:kern w:val="0"/>
                <w:sz w:val="20"/>
                <w:szCs w:val="20"/>
              </w:rPr>
              <w:t>□恢复审核：</w:t>
            </w:r>
          </w:p>
        </w:tc>
        <w:tc>
          <w:tcPr>
            <w:tcW w:w="7654" w:type="dxa"/>
          </w:tcPr>
          <w:p>
            <w:pPr>
              <w:autoSpaceDE w:val="0"/>
              <w:autoSpaceDN w:val="0"/>
              <w:adjustRightInd w:val="0"/>
              <w:jc w:val="left"/>
              <w:rPr>
                <w:rFonts w:ascii="宋体" w:hAnsi="宋体"/>
                <w:b/>
                <w:color w:val="000000" w:themeColor="text1"/>
                <w:sz w:val="20"/>
                <w:szCs w:val="20"/>
              </w:rPr>
            </w:pPr>
            <w:r>
              <w:rPr>
                <w:rFonts w:hint="eastAsia" w:ascii="宋体" w:cs="宋体" w:hAnsiTheme="minorHAnsi"/>
                <w:color w:val="000000" w:themeColor="text1"/>
                <w:kern w:val="0"/>
                <w:sz w:val="20"/>
                <w:szCs w:val="20"/>
              </w:rPr>
              <w:t>评价组织在暂停期间整改及体系运行是否满足要求，以确定是否推荐恢复认证资格</w:t>
            </w:r>
          </w:p>
        </w:tc>
      </w:tr>
    </w:tbl>
    <w:p>
      <w:pPr>
        <w:rPr>
          <w:rFonts w:ascii="宋体" w:hAnsi="宋体"/>
          <w:b/>
          <w:color w:val="000000" w:themeColor="text1"/>
          <w:sz w:val="16"/>
          <w:szCs w:val="16"/>
        </w:rPr>
      </w:pPr>
    </w:p>
    <w:p>
      <w:pPr>
        <w:pStyle w:val="10"/>
        <w:numPr>
          <w:ilvl w:val="0"/>
          <w:numId w:val="1"/>
        </w:numPr>
        <w:ind w:left="-142" w:hanging="709" w:firstLineChars="0"/>
        <w:rPr>
          <w:rFonts w:ascii="宋体" w:hAnsi="宋体"/>
          <w:b/>
          <w:color w:val="000000" w:themeColor="text1"/>
          <w:sz w:val="26"/>
          <w:szCs w:val="26"/>
        </w:rPr>
      </w:pPr>
      <w:r>
        <w:rPr>
          <w:rFonts w:hint="eastAsia" w:ascii="宋体" w:hAnsi="宋体"/>
          <w:b/>
          <w:color w:val="000000" w:themeColor="text1"/>
          <w:sz w:val="26"/>
          <w:szCs w:val="26"/>
        </w:rPr>
        <w:t>审核准则</w:t>
      </w:r>
    </w:p>
    <w:p>
      <w:pPr>
        <w:jc w:val="left"/>
        <w:rPr>
          <w:rFonts w:ascii="宋体" w:hAnsi="宋体"/>
          <w:b/>
          <w:color w:val="000000" w:themeColor="text1"/>
          <w:spacing w:val="-10"/>
          <w:sz w:val="20"/>
          <w:szCs w:val="20"/>
        </w:rPr>
      </w:pPr>
      <w:bookmarkStart w:id="4" w:name="审核依据"/>
      <w:r>
        <w:rPr>
          <w:rFonts w:hint="eastAsia" w:ascii="宋体" w:hAnsi="宋体"/>
          <w:b/>
          <w:color w:val="000000" w:themeColor="text1"/>
          <w:spacing w:val="-10"/>
          <w:sz w:val="20"/>
          <w:szCs w:val="20"/>
        </w:rPr>
        <w:t>Q：GB/T 19001-2016idtISO 9001:2015,E：GB/T 24001-2016idtISO 14001:2015,O：GB/T45001—2020/ISO 45001:2018</w:t>
      </w:r>
      <w:bookmarkEnd w:id="4"/>
      <w:r>
        <w:rPr>
          <w:rFonts w:hint="eastAsia" w:ascii="宋体" w:hAnsi="宋体"/>
          <w:b/>
          <w:color w:val="000000" w:themeColor="text1"/>
          <w:sz w:val="26"/>
          <w:szCs w:val="26"/>
        </w:rPr>
        <w:t>四、受审核方基本信息</w:t>
      </w:r>
    </w:p>
    <w:tbl>
      <w:tblPr>
        <w:tblStyle w:val="6"/>
        <w:tblW w:w="9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1620"/>
        <w:gridCol w:w="1080"/>
        <w:gridCol w:w="282"/>
        <w:gridCol w:w="987"/>
        <w:gridCol w:w="531"/>
        <w:gridCol w:w="79"/>
        <w:gridCol w:w="396"/>
        <w:gridCol w:w="128"/>
        <w:gridCol w:w="610"/>
        <w:gridCol w:w="227"/>
        <w:gridCol w:w="156"/>
        <w:gridCol w:w="24"/>
        <w:gridCol w:w="540"/>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919" w:type="dxa"/>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受审核方名称</w:t>
            </w:r>
          </w:p>
        </w:tc>
        <w:tc>
          <w:tcPr>
            <w:tcW w:w="4579" w:type="dxa"/>
            <w:gridSpan w:val="6"/>
          </w:tcPr>
          <w:p>
            <w:pPr>
              <w:spacing w:line="320" w:lineRule="exact"/>
              <w:jc w:val="center"/>
              <w:rPr>
                <w:rFonts w:ascii="宋体" w:hAnsi="宋体"/>
                <w:b/>
                <w:color w:val="000000" w:themeColor="text1"/>
                <w:sz w:val="20"/>
                <w:szCs w:val="20"/>
              </w:rPr>
            </w:pPr>
            <w:bookmarkStart w:id="5" w:name="组织名称Add1"/>
            <w:r>
              <w:rPr>
                <w:rFonts w:ascii="宋体" w:hAnsi="宋体"/>
                <w:b/>
                <w:color w:val="000000" w:themeColor="text1"/>
                <w:sz w:val="20"/>
                <w:szCs w:val="20"/>
              </w:rPr>
              <w:t>江西金信科技集团有限公司</w:t>
            </w:r>
            <w:bookmarkEnd w:id="5"/>
          </w:p>
        </w:tc>
        <w:tc>
          <w:tcPr>
            <w:tcW w:w="1134" w:type="dxa"/>
            <w:gridSpan w:val="3"/>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组织人数</w:t>
            </w:r>
          </w:p>
        </w:tc>
        <w:tc>
          <w:tcPr>
            <w:tcW w:w="2244" w:type="dxa"/>
            <w:gridSpan w:val="5"/>
          </w:tcPr>
          <w:p>
            <w:pPr>
              <w:spacing w:line="320" w:lineRule="exact"/>
              <w:jc w:val="center"/>
              <w:rPr>
                <w:rFonts w:ascii="宋体" w:hAnsi="宋体"/>
                <w:b/>
                <w:color w:val="000000" w:themeColor="text1"/>
                <w:sz w:val="20"/>
                <w:szCs w:val="20"/>
              </w:rPr>
            </w:pPr>
            <w:bookmarkStart w:id="6" w:name="企业人数"/>
            <w:r>
              <w:rPr>
                <w:rFonts w:ascii="宋体" w:hAnsi="宋体"/>
                <w:b/>
                <w:color w:val="000000" w:themeColor="text1"/>
                <w:sz w:val="20"/>
                <w:szCs w:val="20"/>
              </w:rPr>
              <w:t>45</w:t>
            </w:r>
            <w:bookmarkEnd w:id="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19" w:type="dxa"/>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注册地址</w:t>
            </w:r>
          </w:p>
        </w:tc>
        <w:tc>
          <w:tcPr>
            <w:tcW w:w="6120" w:type="dxa"/>
            <w:gridSpan w:val="12"/>
          </w:tcPr>
          <w:p>
            <w:pPr>
              <w:spacing w:line="320" w:lineRule="exact"/>
              <w:jc w:val="center"/>
              <w:rPr>
                <w:rFonts w:ascii="宋体" w:hAnsi="宋体"/>
                <w:b/>
                <w:color w:val="000000" w:themeColor="text1"/>
                <w:sz w:val="20"/>
                <w:szCs w:val="20"/>
              </w:rPr>
            </w:pPr>
            <w:bookmarkStart w:id="7" w:name="注册地址"/>
            <w:r>
              <w:rPr>
                <w:rFonts w:ascii="宋体" w:hAnsi="宋体"/>
                <w:b/>
                <w:color w:val="000000" w:themeColor="text1"/>
                <w:sz w:val="20"/>
                <w:szCs w:val="20"/>
              </w:rPr>
              <w:t>江西省宜春市樟树市城北经济技术开发区</w:t>
            </w:r>
            <w:bookmarkEnd w:id="7"/>
          </w:p>
        </w:tc>
        <w:tc>
          <w:tcPr>
            <w:tcW w:w="540" w:type="dxa"/>
            <w:vMerge w:val="restart"/>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邮</w:t>
            </w:r>
          </w:p>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编</w:t>
            </w:r>
          </w:p>
        </w:tc>
        <w:tc>
          <w:tcPr>
            <w:tcW w:w="1297" w:type="dxa"/>
          </w:tcPr>
          <w:p>
            <w:pPr>
              <w:spacing w:line="320" w:lineRule="exact"/>
              <w:rPr>
                <w:rFonts w:ascii="宋体" w:hAnsi="宋体"/>
                <w:b/>
                <w:color w:val="000000" w:themeColor="text1"/>
                <w:spacing w:val="-20"/>
                <w:sz w:val="20"/>
                <w:szCs w:val="20"/>
              </w:rPr>
            </w:pPr>
            <w:bookmarkStart w:id="8" w:name="注册邮编"/>
            <w:r>
              <w:rPr>
                <w:rFonts w:ascii="宋体" w:hAnsi="宋体"/>
                <w:b/>
                <w:color w:val="000000" w:themeColor="text1"/>
                <w:spacing w:val="-20"/>
                <w:sz w:val="20"/>
                <w:szCs w:val="20"/>
              </w:rPr>
              <w:t>331200</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19" w:type="dxa"/>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经营地址1</w:t>
            </w:r>
          </w:p>
        </w:tc>
        <w:tc>
          <w:tcPr>
            <w:tcW w:w="6120" w:type="dxa"/>
            <w:gridSpan w:val="12"/>
          </w:tcPr>
          <w:p>
            <w:pPr>
              <w:spacing w:line="320" w:lineRule="exact"/>
              <w:rPr>
                <w:rFonts w:ascii="宋体" w:hAnsi="宋体"/>
                <w:b/>
                <w:color w:val="000000" w:themeColor="text1"/>
                <w:sz w:val="20"/>
                <w:szCs w:val="20"/>
              </w:rPr>
            </w:pPr>
            <w:bookmarkStart w:id="9" w:name="办公地址"/>
            <w:r>
              <w:rPr>
                <w:rFonts w:ascii="宋体" w:hAnsi="宋体"/>
                <w:b/>
                <w:color w:val="000000" w:themeColor="text1"/>
                <w:sz w:val="20"/>
                <w:szCs w:val="20"/>
              </w:rPr>
              <w:t>江西省宜春市樟树市城北经济技术开发区</w:t>
            </w:r>
            <w:bookmarkEnd w:id="9"/>
          </w:p>
        </w:tc>
        <w:tc>
          <w:tcPr>
            <w:tcW w:w="540" w:type="dxa"/>
            <w:vMerge w:val="continue"/>
            <w:vAlign w:val="center"/>
          </w:tcPr>
          <w:p>
            <w:pPr>
              <w:spacing w:line="320" w:lineRule="exact"/>
              <w:jc w:val="center"/>
              <w:rPr>
                <w:rFonts w:ascii="宋体" w:hAnsi="宋体"/>
                <w:b/>
                <w:color w:val="000000" w:themeColor="text1"/>
                <w:sz w:val="20"/>
                <w:szCs w:val="20"/>
              </w:rPr>
            </w:pPr>
          </w:p>
        </w:tc>
        <w:tc>
          <w:tcPr>
            <w:tcW w:w="1297" w:type="dxa"/>
          </w:tcPr>
          <w:p>
            <w:pPr>
              <w:spacing w:line="320" w:lineRule="exact"/>
              <w:rPr>
                <w:rFonts w:ascii="宋体" w:hAnsi="宋体"/>
                <w:b/>
                <w:color w:val="000000" w:themeColor="text1"/>
                <w:sz w:val="20"/>
                <w:szCs w:val="20"/>
              </w:rPr>
            </w:pPr>
            <w:bookmarkStart w:id="10" w:name="办公邮编"/>
            <w:r>
              <w:rPr>
                <w:rFonts w:ascii="宋体" w:hAnsi="宋体"/>
                <w:b/>
                <w:color w:val="000000" w:themeColor="text1"/>
                <w:sz w:val="20"/>
                <w:szCs w:val="20"/>
              </w:rPr>
              <w:t>331200</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19" w:type="dxa"/>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经营地址2</w:t>
            </w:r>
          </w:p>
        </w:tc>
        <w:tc>
          <w:tcPr>
            <w:tcW w:w="6120" w:type="dxa"/>
            <w:gridSpan w:val="12"/>
          </w:tcPr>
          <w:p>
            <w:pPr>
              <w:spacing w:line="320" w:lineRule="exact"/>
              <w:rPr>
                <w:rFonts w:ascii="宋体" w:hAnsi="宋体"/>
                <w:b/>
                <w:color w:val="000000" w:themeColor="text1"/>
                <w:sz w:val="20"/>
                <w:szCs w:val="20"/>
              </w:rPr>
            </w:pPr>
          </w:p>
        </w:tc>
        <w:tc>
          <w:tcPr>
            <w:tcW w:w="540" w:type="dxa"/>
            <w:vMerge w:val="continue"/>
            <w:vAlign w:val="center"/>
          </w:tcPr>
          <w:p>
            <w:pPr>
              <w:spacing w:line="320" w:lineRule="exact"/>
              <w:jc w:val="center"/>
              <w:rPr>
                <w:rFonts w:ascii="宋体" w:hAnsi="宋体"/>
                <w:b/>
                <w:color w:val="000000" w:themeColor="text1"/>
                <w:sz w:val="20"/>
                <w:szCs w:val="20"/>
              </w:rPr>
            </w:pPr>
          </w:p>
        </w:tc>
        <w:tc>
          <w:tcPr>
            <w:tcW w:w="1297" w:type="dxa"/>
          </w:tcPr>
          <w:p>
            <w:pPr>
              <w:spacing w:line="320" w:lineRule="exact"/>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19" w:type="dxa"/>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经营地址3</w:t>
            </w:r>
          </w:p>
        </w:tc>
        <w:tc>
          <w:tcPr>
            <w:tcW w:w="6120" w:type="dxa"/>
            <w:gridSpan w:val="12"/>
          </w:tcPr>
          <w:p>
            <w:pPr>
              <w:spacing w:line="320" w:lineRule="exact"/>
              <w:rPr>
                <w:rFonts w:ascii="宋体" w:hAnsi="宋体"/>
                <w:b/>
                <w:color w:val="000000" w:themeColor="text1"/>
                <w:sz w:val="20"/>
                <w:szCs w:val="20"/>
              </w:rPr>
            </w:pPr>
          </w:p>
        </w:tc>
        <w:tc>
          <w:tcPr>
            <w:tcW w:w="540" w:type="dxa"/>
            <w:vMerge w:val="continue"/>
            <w:vAlign w:val="center"/>
          </w:tcPr>
          <w:p>
            <w:pPr>
              <w:spacing w:line="320" w:lineRule="exact"/>
              <w:jc w:val="center"/>
              <w:rPr>
                <w:rFonts w:ascii="宋体" w:hAnsi="宋体"/>
                <w:b/>
                <w:color w:val="000000" w:themeColor="text1"/>
                <w:sz w:val="20"/>
                <w:szCs w:val="20"/>
              </w:rPr>
            </w:pPr>
          </w:p>
        </w:tc>
        <w:tc>
          <w:tcPr>
            <w:tcW w:w="1297" w:type="dxa"/>
          </w:tcPr>
          <w:p>
            <w:pPr>
              <w:spacing w:line="320" w:lineRule="exact"/>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919" w:type="dxa"/>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经营地址4</w:t>
            </w:r>
          </w:p>
        </w:tc>
        <w:tc>
          <w:tcPr>
            <w:tcW w:w="6120" w:type="dxa"/>
            <w:gridSpan w:val="12"/>
          </w:tcPr>
          <w:p>
            <w:pPr>
              <w:spacing w:line="320" w:lineRule="exact"/>
              <w:rPr>
                <w:rFonts w:ascii="宋体" w:hAnsi="宋体"/>
                <w:b/>
                <w:color w:val="000000" w:themeColor="text1"/>
                <w:sz w:val="20"/>
                <w:szCs w:val="20"/>
              </w:rPr>
            </w:pPr>
          </w:p>
        </w:tc>
        <w:tc>
          <w:tcPr>
            <w:tcW w:w="540" w:type="dxa"/>
            <w:vMerge w:val="continue"/>
            <w:vAlign w:val="center"/>
          </w:tcPr>
          <w:p>
            <w:pPr>
              <w:spacing w:line="320" w:lineRule="exact"/>
              <w:jc w:val="center"/>
              <w:rPr>
                <w:rFonts w:ascii="宋体" w:hAnsi="宋体"/>
                <w:b/>
                <w:color w:val="000000" w:themeColor="text1"/>
                <w:sz w:val="20"/>
                <w:szCs w:val="20"/>
              </w:rPr>
            </w:pPr>
          </w:p>
        </w:tc>
        <w:tc>
          <w:tcPr>
            <w:tcW w:w="1297" w:type="dxa"/>
          </w:tcPr>
          <w:p>
            <w:pPr>
              <w:spacing w:line="320" w:lineRule="exact"/>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919" w:type="dxa"/>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联系人</w:t>
            </w:r>
          </w:p>
        </w:tc>
        <w:tc>
          <w:tcPr>
            <w:tcW w:w="1620" w:type="dxa"/>
            <w:vAlign w:val="center"/>
          </w:tcPr>
          <w:p>
            <w:pPr>
              <w:spacing w:line="320" w:lineRule="exact"/>
              <w:jc w:val="center"/>
              <w:rPr>
                <w:rFonts w:ascii="宋体" w:hAnsi="宋体"/>
                <w:b/>
                <w:color w:val="000000" w:themeColor="text1"/>
                <w:sz w:val="20"/>
                <w:szCs w:val="20"/>
              </w:rPr>
            </w:pPr>
            <w:bookmarkStart w:id="11" w:name="联系人"/>
            <w:r>
              <w:rPr>
                <w:rFonts w:ascii="宋体" w:hAnsi="宋体"/>
                <w:b/>
                <w:color w:val="000000" w:themeColor="text1"/>
                <w:sz w:val="20"/>
                <w:szCs w:val="20"/>
              </w:rPr>
              <w:t>代小玲</w:t>
            </w:r>
            <w:bookmarkEnd w:id="11"/>
          </w:p>
        </w:tc>
        <w:tc>
          <w:tcPr>
            <w:tcW w:w="1362" w:type="dxa"/>
            <w:gridSpan w:val="2"/>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电话</w:t>
            </w:r>
          </w:p>
        </w:tc>
        <w:tc>
          <w:tcPr>
            <w:tcW w:w="1993" w:type="dxa"/>
            <w:gridSpan w:val="4"/>
            <w:vAlign w:val="center"/>
          </w:tcPr>
          <w:p>
            <w:pPr>
              <w:spacing w:line="320" w:lineRule="exact"/>
              <w:jc w:val="center"/>
              <w:rPr>
                <w:rFonts w:ascii="宋体" w:hAnsi="宋体"/>
                <w:b/>
                <w:color w:val="000000" w:themeColor="text1"/>
                <w:sz w:val="20"/>
                <w:szCs w:val="20"/>
              </w:rPr>
            </w:pPr>
            <w:bookmarkStart w:id="12" w:name="联系人电话"/>
            <w:r>
              <w:rPr>
                <w:rFonts w:ascii="宋体" w:hAnsi="宋体"/>
                <w:b/>
                <w:color w:val="000000" w:themeColor="text1"/>
                <w:sz w:val="20"/>
                <w:szCs w:val="20"/>
              </w:rPr>
              <w:t>0795-7878588</w:t>
            </w:r>
            <w:bookmarkEnd w:id="12"/>
          </w:p>
        </w:tc>
        <w:tc>
          <w:tcPr>
            <w:tcW w:w="965" w:type="dxa"/>
            <w:gridSpan w:val="3"/>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传真</w:t>
            </w:r>
          </w:p>
        </w:tc>
        <w:tc>
          <w:tcPr>
            <w:tcW w:w="2017" w:type="dxa"/>
            <w:gridSpan w:val="4"/>
            <w:vAlign w:val="center"/>
          </w:tcPr>
          <w:p>
            <w:pPr>
              <w:spacing w:line="320" w:lineRule="exact"/>
              <w:jc w:val="center"/>
              <w:rPr>
                <w:rFonts w:ascii="宋体" w:hAnsi="宋体"/>
                <w:b/>
                <w:color w:val="000000" w:themeColor="text1"/>
                <w:sz w:val="20"/>
                <w:szCs w:val="20"/>
              </w:rPr>
            </w:pPr>
            <w:bookmarkStart w:id="13" w:name="联系人传真"/>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9" w:type="dxa"/>
            <w:vAlign w:val="center"/>
          </w:tcPr>
          <w:p>
            <w:pPr>
              <w:spacing w:line="320" w:lineRule="exact"/>
              <w:rPr>
                <w:rFonts w:ascii="宋体" w:hAnsi="宋体"/>
                <w:b/>
                <w:color w:val="000000" w:themeColor="text1"/>
                <w:spacing w:val="-20"/>
                <w:sz w:val="20"/>
                <w:szCs w:val="20"/>
              </w:rPr>
            </w:pPr>
            <w:r>
              <w:rPr>
                <w:rFonts w:hint="eastAsia" w:ascii="宋体" w:hAnsi="宋体"/>
                <w:b/>
                <w:color w:val="000000" w:themeColor="text1"/>
                <w:spacing w:val="-20"/>
                <w:sz w:val="20"/>
                <w:szCs w:val="20"/>
              </w:rPr>
              <w:t>法人代表</w:t>
            </w:r>
          </w:p>
        </w:tc>
        <w:tc>
          <w:tcPr>
            <w:tcW w:w="1620" w:type="dxa"/>
            <w:vAlign w:val="center"/>
          </w:tcPr>
          <w:p>
            <w:pPr>
              <w:spacing w:line="320" w:lineRule="exact"/>
              <w:jc w:val="center"/>
              <w:rPr>
                <w:rFonts w:ascii="宋体" w:hAnsi="宋体"/>
                <w:b/>
                <w:color w:val="000000" w:themeColor="text1"/>
                <w:sz w:val="20"/>
                <w:szCs w:val="20"/>
              </w:rPr>
            </w:pPr>
            <w:bookmarkStart w:id="14" w:name="法人"/>
            <w:r>
              <w:rPr>
                <w:rFonts w:ascii="宋体" w:hAnsi="宋体"/>
                <w:b/>
                <w:color w:val="000000" w:themeColor="text1"/>
                <w:sz w:val="20"/>
                <w:szCs w:val="20"/>
              </w:rPr>
              <w:t>聂美良</w:t>
            </w:r>
            <w:bookmarkEnd w:id="14"/>
          </w:p>
        </w:tc>
        <w:tc>
          <w:tcPr>
            <w:tcW w:w="1362" w:type="dxa"/>
            <w:gridSpan w:val="2"/>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最高管理者</w:t>
            </w:r>
          </w:p>
        </w:tc>
        <w:tc>
          <w:tcPr>
            <w:tcW w:w="1518" w:type="dxa"/>
            <w:gridSpan w:val="2"/>
            <w:vAlign w:val="center"/>
          </w:tcPr>
          <w:p>
            <w:pPr>
              <w:spacing w:line="320" w:lineRule="exact"/>
              <w:rPr>
                <w:rFonts w:hint="default" w:ascii="宋体" w:hAnsi="宋体" w:eastAsia="宋体"/>
                <w:b/>
                <w:color w:val="000000" w:themeColor="text1"/>
                <w:spacing w:val="-20"/>
                <w:sz w:val="20"/>
                <w:szCs w:val="20"/>
                <w:lang w:val="en-US" w:eastAsia="zh-CN"/>
              </w:rPr>
            </w:pPr>
            <w:bookmarkStart w:id="15" w:name="最高管理者"/>
            <w:bookmarkEnd w:id="15"/>
            <w:r>
              <w:rPr>
                <w:rFonts w:hint="eastAsia" w:ascii="宋体" w:hAnsi="宋体"/>
                <w:b/>
                <w:color w:val="000000" w:themeColor="text1"/>
                <w:spacing w:val="-20"/>
                <w:sz w:val="20"/>
                <w:szCs w:val="20"/>
                <w:lang w:val="en-US" w:eastAsia="zh-CN"/>
              </w:rPr>
              <w:t>聂建喜</w:t>
            </w:r>
          </w:p>
        </w:tc>
        <w:tc>
          <w:tcPr>
            <w:tcW w:w="1440" w:type="dxa"/>
            <w:gridSpan w:val="5"/>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体系负责人</w:t>
            </w:r>
          </w:p>
        </w:tc>
        <w:tc>
          <w:tcPr>
            <w:tcW w:w="2017" w:type="dxa"/>
            <w:gridSpan w:val="4"/>
            <w:vAlign w:val="center"/>
          </w:tcPr>
          <w:p>
            <w:pPr>
              <w:spacing w:line="320" w:lineRule="exact"/>
              <w:jc w:val="center"/>
              <w:rPr>
                <w:rFonts w:ascii="宋体" w:hAnsi="宋体"/>
                <w:b/>
                <w:color w:val="000000" w:themeColor="text1"/>
                <w:sz w:val="20"/>
                <w:szCs w:val="20"/>
              </w:rPr>
            </w:pPr>
            <w:bookmarkStart w:id="16" w:name="管理者代表"/>
            <w:r>
              <w:rPr>
                <w:rFonts w:ascii="宋体" w:hAnsi="宋体"/>
                <w:b/>
                <w:color w:val="000000" w:themeColor="text1"/>
                <w:sz w:val="20"/>
                <w:szCs w:val="20"/>
              </w:rPr>
              <w:t>邹林如</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919" w:type="dxa"/>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申请的产品/</w:t>
            </w:r>
          </w:p>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服务认证范围</w:t>
            </w:r>
          </w:p>
          <w:p>
            <w:pPr>
              <w:spacing w:line="320" w:lineRule="exact"/>
              <w:jc w:val="center"/>
              <w:rPr>
                <w:rFonts w:ascii="宋体" w:hAnsi="宋体"/>
                <w:b/>
                <w:color w:val="000000" w:themeColor="text1"/>
                <w:sz w:val="20"/>
                <w:szCs w:val="20"/>
              </w:rPr>
            </w:pPr>
          </w:p>
        </w:tc>
        <w:tc>
          <w:tcPr>
            <w:tcW w:w="7957" w:type="dxa"/>
            <w:gridSpan w:val="14"/>
          </w:tcPr>
          <w:p>
            <w:pPr>
              <w:spacing w:line="320" w:lineRule="exact"/>
              <w:rPr>
                <w:rFonts w:ascii="宋体" w:hAnsi="宋体"/>
                <w:b/>
                <w:color w:val="000000" w:themeColor="text1"/>
                <w:sz w:val="20"/>
                <w:szCs w:val="20"/>
                <w:u w:val="single"/>
              </w:rPr>
            </w:pPr>
            <w:bookmarkStart w:id="17" w:name="审核范围"/>
            <w:r>
              <w:rPr>
                <w:rFonts w:ascii="宋体" w:hAnsi="宋体"/>
                <w:b/>
                <w:color w:val="000000" w:themeColor="text1"/>
                <w:sz w:val="20"/>
                <w:szCs w:val="20"/>
              </w:rPr>
              <w:t>Q：办公家具（办公桌、办公椅）；钢木家具（钢（木）公寓床、钢（木）书架、钢（木）期刊架（柜）、钢（木）阅览桌（椅）、钢（木）展柜、）；公交候车亭、智能公交电子站牌、课桌（椅）、军用床、智能型密集架、智能型书架、手动密集架、博物馆珍藏架、文物柜（架）、重型货架、药品架（柜）、文件柜、防磁柜、保险柜、智能枪（弹）柜、金库门、活动库房、爆炸危险品移动库房、智能存放架、电脑桌（椅）、会议桌（椅）、培训桌（椅）、茶水柜、古籍书柜、字画箱（柜）、服务台、讲台的设计、生产制造及环卫设备（垃圾箱、垃圾桶、环卫车）、教学仪器设备的销售</w:t>
            </w:r>
          </w:p>
          <w:p>
            <w:pPr>
              <w:spacing w:line="320" w:lineRule="exact"/>
              <w:rPr>
                <w:rFonts w:ascii="宋体" w:hAnsi="宋体"/>
                <w:b/>
                <w:color w:val="000000" w:themeColor="text1"/>
                <w:sz w:val="20"/>
                <w:szCs w:val="20"/>
              </w:rPr>
            </w:pPr>
            <w:r>
              <w:rPr>
                <w:rFonts w:ascii="宋体" w:hAnsi="宋体"/>
                <w:b/>
                <w:color w:val="000000" w:themeColor="text1"/>
                <w:sz w:val="20"/>
                <w:szCs w:val="20"/>
              </w:rPr>
              <w:t>E：办公家具（办公桌、办公椅）；钢木家具（钢（木）公寓床、钢（木）书架、钢（木）期刊架（柜）、钢（木）阅览桌（椅）、钢（木）展柜、）；公交候车亭、智能公交电子站牌、课桌（椅）、军用床、智能型密集架、智能型书架、手动密集架、博物馆珍藏架、文物柜（架）、重型货架、药品架（柜）、文件柜、防磁柜、保险柜、智能枪（弹）柜、金库门、活动库房、爆炸危险品移动库房、智能存放架、电脑桌（椅）、会议桌（椅）、培训桌（椅）、茶水柜、古籍书柜、字画箱（柜）、服务台、讲台的设计、生产制造及环卫设备（垃圾箱、垃圾桶、环卫车）、教学仪器设备的销售所涉及的相关环境管理活动</w:t>
            </w:r>
          </w:p>
          <w:p>
            <w:pPr>
              <w:spacing w:line="320" w:lineRule="exact"/>
              <w:rPr>
                <w:rFonts w:ascii="宋体" w:hAnsi="宋体"/>
                <w:b/>
                <w:color w:val="000000" w:themeColor="text1"/>
                <w:sz w:val="20"/>
                <w:szCs w:val="20"/>
              </w:rPr>
            </w:pPr>
            <w:r>
              <w:rPr>
                <w:rFonts w:ascii="宋体" w:hAnsi="宋体"/>
                <w:b/>
                <w:color w:val="000000" w:themeColor="text1"/>
                <w:sz w:val="20"/>
                <w:szCs w:val="20"/>
              </w:rPr>
              <w:t>O：办公家具（办公桌、办公椅）；钢木家具（钢（木）公寓床、钢（木）书架、钢（木）期刊架（柜）、钢（木）阅览桌（椅）、钢（木）展柜、）；公交候车亭、智能公交电子站牌、课桌（椅）、军用床、智能型密集架、智能型书架、手动密集架、博物馆珍藏架、文物柜（架）、重型货架、药品架（柜）、文件柜、防磁柜、保险柜、智能枪（弹）柜、金库门、活动库房、爆炸危险品移动库房、智能存放架、电脑桌（椅）、会议桌（椅）、培训桌（椅）、茶水柜、古籍书柜、字画箱（柜）、服务台、讲台的设计、生产制造及环卫设备（垃圾箱、垃圾桶、环卫车）、教学仪器设备的销售所涉及的职业健康安全管理活动</w:t>
            </w:r>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919" w:type="dxa"/>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专业代码</w:t>
            </w:r>
          </w:p>
        </w:tc>
        <w:tc>
          <w:tcPr>
            <w:tcW w:w="3969" w:type="dxa"/>
            <w:gridSpan w:val="4"/>
          </w:tcPr>
          <w:p>
            <w:pPr>
              <w:spacing w:line="320" w:lineRule="exact"/>
              <w:rPr>
                <w:rFonts w:ascii="宋体" w:hAnsi="宋体"/>
                <w:b/>
                <w:color w:val="000000" w:themeColor="text1"/>
                <w:sz w:val="20"/>
                <w:szCs w:val="20"/>
              </w:rPr>
            </w:pPr>
            <w:bookmarkStart w:id="18" w:name="专业代码"/>
            <w:r>
              <w:rPr>
                <w:rFonts w:ascii="宋体" w:hAnsi="宋体"/>
                <w:b/>
                <w:color w:val="000000" w:themeColor="text1"/>
                <w:sz w:val="20"/>
                <w:szCs w:val="20"/>
              </w:rPr>
              <w:t>Q：17.06.02;17.12.05;23.01.01;29.10.07</w:t>
            </w:r>
          </w:p>
          <w:p>
            <w:pPr>
              <w:spacing w:line="320" w:lineRule="exact"/>
              <w:rPr>
                <w:rFonts w:ascii="宋体" w:hAnsi="宋体"/>
                <w:b/>
                <w:color w:val="000000" w:themeColor="text1"/>
                <w:sz w:val="20"/>
                <w:szCs w:val="20"/>
              </w:rPr>
            </w:pPr>
            <w:r>
              <w:rPr>
                <w:rFonts w:ascii="宋体" w:hAnsi="宋体"/>
                <w:b/>
                <w:color w:val="000000" w:themeColor="text1"/>
                <w:sz w:val="20"/>
                <w:szCs w:val="20"/>
              </w:rPr>
              <w:t>E：17.06.02;17.12.05;23.01.01;29.10.07</w:t>
            </w:r>
          </w:p>
          <w:p>
            <w:pPr>
              <w:spacing w:line="320" w:lineRule="exact"/>
              <w:rPr>
                <w:rFonts w:ascii="宋体" w:hAnsi="宋体"/>
                <w:b/>
                <w:color w:val="000000" w:themeColor="text1"/>
                <w:sz w:val="20"/>
                <w:szCs w:val="20"/>
              </w:rPr>
            </w:pPr>
            <w:r>
              <w:rPr>
                <w:rFonts w:ascii="宋体" w:hAnsi="宋体"/>
                <w:b/>
                <w:color w:val="000000" w:themeColor="text1"/>
                <w:sz w:val="20"/>
                <w:szCs w:val="20"/>
              </w:rPr>
              <w:t>O：17.06.02;17.12.05;23.01.01;29.10.07</w:t>
            </w:r>
            <w:bookmarkEnd w:id="18"/>
          </w:p>
        </w:tc>
        <w:tc>
          <w:tcPr>
            <w:tcW w:w="2127" w:type="dxa"/>
            <w:gridSpan w:val="7"/>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是否是一体化审核</w:t>
            </w:r>
          </w:p>
        </w:tc>
        <w:tc>
          <w:tcPr>
            <w:tcW w:w="1861" w:type="dxa"/>
            <w:gridSpan w:val="3"/>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lang w:eastAsia="zh-CN"/>
              </w:rPr>
              <w:t>☑</w:t>
            </w:r>
            <w:r>
              <w:rPr>
                <w:rFonts w:hint="eastAsia" w:ascii="宋体" w:hAnsi="宋体"/>
                <w:b/>
                <w:color w:val="000000" w:themeColor="text1"/>
                <w:sz w:val="20"/>
                <w:szCs w:val="20"/>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19" w:type="dxa"/>
            <w:vAlign w:val="center"/>
          </w:tcPr>
          <w:p>
            <w:pPr>
              <w:jc w:val="center"/>
              <w:rPr>
                <w:rFonts w:ascii="宋体" w:hAnsi="宋体"/>
                <w:b/>
                <w:color w:val="000000" w:themeColor="text1"/>
                <w:spacing w:val="-8"/>
                <w:sz w:val="20"/>
                <w:szCs w:val="20"/>
              </w:rPr>
            </w:pPr>
            <w:r>
              <w:rPr>
                <w:rFonts w:hint="eastAsia" w:ascii="宋体" w:hAnsi="宋体"/>
                <w:b/>
                <w:color w:val="000000" w:themeColor="text1"/>
                <w:spacing w:val="-8"/>
                <w:sz w:val="20"/>
                <w:szCs w:val="20"/>
              </w:rPr>
              <w:t>体系文件实施时间</w:t>
            </w:r>
          </w:p>
        </w:tc>
        <w:tc>
          <w:tcPr>
            <w:tcW w:w="2700" w:type="dxa"/>
            <w:gridSpan w:val="2"/>
            <w:vAlign w:val="center"/>
          </w:tcPr>
          <w:p>
            <w:pPr>
              <w:jc w:val="center"/>
              <w:rPr>
                <w:rFonts w:ascii="宋体" w:hAnsi="宋体"/>
                <w:b/>
                <w:color w:val="000000" w:themeColor="text1"/>
                <w:sz w:val="20"/>
                <w:szCs w:val="20"/>
              </w:rPr>
            </w:pPr>
            <w:bookmarkStart w:id="19" w:name="体系运行时间"/>
            <w:r>
              <w:rPr>
                <w:rFonts w:ascii="宋体" w:hAnsi="宋体"/>
                <w:b/>
                <w:color w:val="000000" w:themeColor="text1"/>
                <w:sz w:val="20"/>
                <w:szCs w:val="20"/>
              </w:rPr>
              <w:t>2020-01-02 0:00:00</w:t>
            </w:r>
            <w:bookmarkEnd w:id="19"/>
          </w:p>
        </w:tc>
        <w:tc>
          <w:tcPr>
            <w:tcW w:w="2403" w:type="dxa"/>
            <w:gridSpan w:val="6"/>
            <w:vAlign w:val="center"/>
          </w:tcPr>
          <w:p>
            <w:pPr>
              <w:rPr>
                <w:rFonts w:ascii="宋体" w:hAnsi="宋体"/>
                <w:b/>
                <w:color w:val="000000" w:themeColor="text1"/>
                <w:sz w:val="20"/>
                <w:szCs w:val="20"/>
              </w:rPr>
            </w:pPr>
            <w:r>
              <w:rPr>
                <w:rFonts w:hint="eastAsia" w:ascii="宋体" w:hAnsi="宋体"/>
                <w:b/>
                <w:color w:val="000000" w:themeColor="text1"/>
                <w:sz w:val="20"/>
                <w:szCs w:val="20"/>
              </w:rPr>
              <w:t>上次审核时间（再认证）</w:t>
            </w:r>
          </w:p>
        </w:tc>
        <w:tc>
          <w:tcPr>
            <w:tcW w:w="2854" w:type="dxa"/>
            <w:gridSpan w:val="6"/>
            <w:vAlign w:val="center"/>
          </w:tcPr>
          <w:p>
            <w:pPr>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9" w:type="dxa"/>
            <w:vAlign w:val="center"/>
          </w:tcPr>
          <w:p>
            <w:pPr>
              <w:jc w:val="center"/>
              <w:rPr>
                <w:rFonts w:ascii="宋体" w:hAnsi="宋体"/>
                <w:b/>
                <w:color w:val="000000" w:themeColor="text1"/>
                <w:sz w:val="20"/>
                <w:szCs w:val="20"/>
              </w:rPr>
            </w:pPr>
            <w:r>
              <w:rPr>
                <w:rFonts w:hint="eastAsia" w:ascii="宋体" w:hAnsi="宋体"/>
                <w:b/>
                <w:color w:val="000000" w:themeColor="text1"/>
                <w:sz w:val="20"/>
                <w:szCs w:val="20"/>
              </w:rPr>
              <w:t>体系区域</w:t>
            </w:r>
          </w:p>
        </w:tc>
        <w:tc>
          <w:tcPr>
            <w:tcW w:w="7957" w:type="dxa"/>
            <w:gridSpan w:val="14"/>
          </w:tcPr>
          <w:p>
            <w:pPr>
              <w:widowControl/>
              <w:jc w:val="left"/>
              <w:rPr>
                <w:rFonts w:ascii="宋体" w:hAnsi="宋体"/>
                <w:b/>
                <w:color w:val="000000" w:themeColor="text1"/>
                <w:spacing w:val="-20"/>
                <w:sz w:val="20"/>
                <w:szCs w:val="20"/>
              </w:rPr>
            </w:pPr>
            <w:r>
              <w:rPr>
                <w:rFonts w:hint="eastAsia" w:ascii="宋体" w:hAnsi="宋体"/>
                <w:b/>
                <w:color w:val="000000" w:themeColor="text1"/>
                <w:sz w:val="20"/>
                <w:szCs w:val="20"/>
              </w:rPr>
              <w:t>总部以外分公司（分场所）名称、地址（附多场所清单）</w:t>
            </w:r>
            <w:r>
              <w:rPr>
                <w:rFonts w:hint="eastAsia" w:ascii="宋体" w:hAnsi="宋体"/>
                <w:b/>
                <w:color w:val="000000" w:themeColor="text1"/>
                <w:spacing w:val="-20"/>
                <w:sz w:val="20"/>
                <w:szCs w:val="20"/>
              </w:rPr>
              <w:t>：</w:t>
            </w:r>
          </w:p>
          <w:p>
            <w:pPr>
              <w:widowControl/>
              <w:jc w:val="left"/>
              <w:rPr>
                <w:rFonts w:ascii="宋体" w:hAnsi="宋体"/>
                <w:b/>
                <w:color w:val="000000" w:themeColor="text1"/>
                <w:spacing w:val="-20"/>
                <w:sz w:val="20"/>
                <w:szCs w:val="20"/>
              </w:rPr>
            </w:pPr>
          </w:p>
          <w:p>
            <w:pPr>
              <w:rPr>
                <w:rFonts w:ascii="宋体" w:hAnsi="宋体"/>
                <w:b/>
                <w:color w:val="000000" w:themeColor="text1"/>
                <w:sz w:val="20"/>
                <w:szCs w:val="20"/>
              </w:rPr>
            </w:pPr>
            <w:r>
              <w:rPr>
                <w:rFonts w:hint="eastAsia" w:ascii="宋体" w:hAnsi="宋体"/>
                <w:b/>
                <w:color w:val="000000" w:themeColor="text1"/>
                <w:sz w:val="20"/>
                <w:szCs w:val="20"/>
              </w:rPr>
              <w:t>所有项目部（</w:t>
            </w:r>
            <w:r>
              <w:rPr>
                <w:rFonts w:hint="eastAsia" w:ascii="宋体" w:hAnsi="宋体"/>
                <w:b/>
                <w:color w:val="000000" w:themeColor="text1"/>
                <w:spacing w:val="-2"/>
                <w:sz w:val="20"/>
                <w:szCs w:val="20"/>
              </w:rPr>
              <w:t>临时场所</w:t>
            </w:r>
            <w:r>
              <w:rPr>
                <w:rFonts w:hint="eastAsia" w:ascii="宋体" w:hAnsi="宋体"/>
                <w:b/>
                <w:color w:val="000000" w:themeColor="text1"/>
                <w:sz w:val="20"/>
                <w:szCs w:val="20"/>
              </w:rPr>
              <w:t>）名称、地址（可附项目清单）</w:t>
            </w:r>
            <w:r>
              <w:rPr>
                <w:rFonts w:ascii="宋体" w:hAnsi="宋体"/>
                <w:b/>
                <w:color w:val="000000" w:themeColor="text1"/>
                <w:sz w:val="20"/>
                <w:szCs w:val="20"/>
              </w:rPr>
              <w:t>：</w:t>
            </w:r>
          </w:p>
          <w:p>
            <w:pPr>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9" w:type="dxa"/>
            <w:vAlign w:val="center"/>
          </w:tcPr>
          <w:p>
            <w:pPr>
              <w:spacing w:line="320" w:lineRule="exact"/>
              <w:jc w:val="left"/>
              <w:rPr>
                <w:rFonts w:ascii="宋体" w:hAnsi="宋体"/>
                <w:b/>
                <w:color w:val="000000" w:themeColor="text1"/>
                <w:sz w:val="20"/>
                <w:szCs w:val="20"/>
              </w:rPr>
            </w:pPr>
            <w:r>
              <w:rPr>
                <w:rFonts w:hint="eastAsia" w:ascii="宋体" w:hAnsi="宋体"/>
                <w:b/>
                <w:color w:val="000000" w:themeColor="text1"/>
                <w:sz w:val="20"/>
                <w:szCs w:val="20"/>
              </w:rPr>
              <w:t>上次审核后发生的影响客户管理体系的重要变更</w:t>
            </w:r>
          </w:p>
          <w:p>
            <w:pPr>
              <w:spacing w:line="320" w:lineRule="exact"/>
              <w:jc w:val="left"/>
              <w:rPr>
                <w:rFonts w:ascii="宋体" w:hAnsi="宋体"/>
                <w:b/>
                <w:color w:val="000000" w:themeColor="text1"/>
                <w:sz w:val="20"/>
                <w:szCs w:val="20"/>
              </w:rPr>
            </w:pPr>
            <w:r>
              <w:rPr>
                <w:rFonts w:hint="eastAsia" w:ascii="宋体" w:hAnsi="宋体"/>
                <w:b/>
                <w:color w:val="000000" w:themeColor="text1"/>
                <w:sz w:val="20"/>
                <w:szCs w:val="20"/>
              </w:rPr>
              <w:t>（再认证）</w:t>
            </w:r>
          </w:p>
        </w:tc>
        <w:tc>
          <w:tcPr>
            <w:tcW w:w="7957" w:type="dxa"/>
            <w:gridSpan w:val="14"/>
          </w:tcPr>
          <w:p>
            <w:pPr>
              <w:widowControl/>
              <w:jc w:val="left"/>
              <w:rPr>
                <w:rFonts w:ascii="宋体" w:hAnsi="宋体"/>
                <w:b/>
                <w:color w:val="000000" w:themeColor="text1"/>
                <w:sz w:val="20"/>
                <w:szCs w:val="20"/>
              </w:rPr>
            </w:pPr>
          </w:p>
        </w:tc>
      </w:tr>
    </w:tbl>
    <w:p>
      <w:pPr>
        <w:snapToGrid w:val="0"/>
        <w:spacing w:after="94" w:afterLines="30"/>
        <w:jc w:val="center"/>
        <w:rPr>
          <w:rFonts w:ascii="楷体" w:hAnsi="楷体" w:eastAsia="楷体"/>
          <w:b/>
          <w:color w:val="000000" w:themeColor="text1"/>
          <w:sz w:val="28"/>
          <w:szCs w:val="28"/>
        </w:rPr>
      </w:pPr>
    </w:p>
    <w:p>
      <w:pPr>
        <w:ind w:left="-1" w:leftChars="-337" w:hanging="707" w:hangingChars="271"/>
        <w:rPr>
          <w:rFonts w:ascii="宋体" w:hAnsi="宋体"/>
          <w:b/>
          <w:color w:val="000000" w:themeColor="text1"/>
          <w:sz w:val="16"/>
          <w:szCs w:val="16"/>
        </w:rPr>
      </w:pPr>
      <w:r>
        <w:rPr>
          <w:rFonts w:hint="eastAsia" w:ascii="宋体" w:hAnsi="宋体"/>
          <w:b/>
          <w:color w:val="000000" w:themeColor="text1"/>
          <w:sz w:val="26"/>
          <w:szCs w:val="26"/>
        </w:rPr>
        <w:t>五、审核活动综述</w:t>
      </w:r>
    </w:p>
    <w:p>
      <w:pPr>
        <w:spacing w:line="360" w:lineRule="auto"/>
        <w:ind w:left="-158" w:leftChars="-337" w:hanging="550" w:hangingChars="271"/>
        <w:rPr>
          <w:rFonts w:ascii="宋体" w:hAnsi="宋体"/>
          <w:b/>
          <w:color w:val="000000" w:themeColor="text1"/>
          <w:spacing w:val="-4"/>
          <w:sz w:val="16"/>
          <w:szCs w:val="16"/>
        </w:rPr>
      </w:pPr>
      <w:r>
        <w:rPr>
          <w:rFonts w:ascii="宋体" w:hAnsi="宋体"/>
          <w:b/>
          <w:color w:val="000000" w:themeColor="text1"/>
          <w:spacing w:val="-4"/>
          <w:szCs w:val="21"/>
        </w:rPr>
        <w:t xml:space="preserve">1. </w:t>
      </w:r>
      <w:r>
        <w:rPr>
          <w:rFonts w:hint="eastAsia" w:ascii="宋体" w:hAnsi="宋体"/>
          <w:b/>
          <w:color w:val="000000" w:themeColor="text1"/>
          <w:spacing w:val="-4"/>
          <w:szCs w:val="21"/>
        </w:rPr>
        <w:t>本次审核活动按审核计划执行（见附件1）。</w:t>
      </w:r>
    </w:p>
    <w:p>
      <w:pPr>
        <w:spacing w:line="360" w:lineRule="auto"/>
        <w:ind w:left="-137" w:leftChars="-337" w:hanging="571" w:hangingChars="271"/>
        <w:rPr>
          <w:rFonts w:ascii="宋体" w:hAnsi="宋体"/>
          <w:b/>
          <w:color w:val="000000" w:themeColor="text1"/>
          <w:szCs w:val="21"/>
        </w:rPr>
      </w:pPr>
      <w:r>
        <w:rPr>
          <w:rFonts w:ascii="宋体" w:hAnsi="宋体"/>
          <w:b/>
          <w:color w:val="000000" w:themeColor="text1"/>
          <w:szCs w:val="21"/>
        </w:rPr>
        <w:t>2.</w:t>
      </w:r>
      <w:r>
        <w:rPr>
          <w:rFonts w:hint="eastAsia" w:ascii="宋体" w:hAnsi="宋体"/>
          <w:b/>
          <w:color w:val="000000" w:themeColor="text1"/>
          <w:szCs w:val="21"/>
        </w:rPr>
        <w:t>已审核总部的部门、职能或过程</w:t>
      </w:r>
      <w:r>
        <w:rPr>
          <w:rFonts w:ascii="宋体" w:hAnsi="宋体"/>
          <w:b/>
          <w:color w:val="000000" w:themeColor="text1"/>
          <w:szCs w:val="21"/>
        </w:rPr>
        <w:t>：</w:t>
      </w:r>
    </w:p>
    <w:tbl>
      <w:tblPr>
        <w:tblStyle w:val="7"/>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pacing w:val="-2"/>
                <w:sz w:val="20"/>
                <w:szCs w:val="20"/>
              </w:rPr>
            </w:pPr>
            <w:r>
              <w:rPr>
                <w:rFonts w:hint="eastAsia" w:ascii="宋体" w:hAnsi="宋体"/>
                <w:b/>
                <w:color w:val="000000" w:themeColor="text1"/>
                <w:sz w:val="20"/>
                <w:szCs w:val="20"/>
              </w:rPr>
              <w:t>部门</w:t>
            </w:r>
            <w:r>
              <w:rPr>
                <w:rFonts w:hint="eastAsia" w:ascii="宋体" w:hAnsi="宋体"/>
                <w:b/>
                <w:color w:val="000000" w:themeColor="text1"/>
                <w:spacing w:val="-2"/>
                <w:sz w:val="20"/>
                <w:szCs w:val="20"/>
              </w:rPr>
              <w:t>:</w:t>
            </w:r>
          </w:p>
        </w:tc>
        <w:tc>
          <w:tcPr>
            <w:tcW w:w="6804" w:type="dxa"/>
          </w:tcPr>
          <w:p>
            <w:pPr>
              <w:jc w:val="center"/>
              <w:rPr>
                <w:rFonts w:ascii="宋体" w:hAnsi="宋体"/>
                <w:b/>
                <w:color w:val="000000" w:themeColor="text1"/>
                <w:sz w:val="20"/>
                <w:szCs w:val="20"/>
              </w:rPr>
            </w:pPr>
            <w:r>
              <w:rPr>
                <w:rFonts w:hint="eastAsia" w:ascii="宋体" w:hAnsi="宋体"/>
                <w:b/>
                <w:color w:val="000000" w:themeColor="text1"/>
                <w:sz w:val="20"/>
                <w:szCs w:val="20"/>
              </w:rPr>
              <w:t>职能或过程</w:t>
            </w:r>
            <w:r>
              <w:rPr>
                <w:rFonts w:hint="eastAsia" w:ascii="宋体" w:hAnsi="宋体"/>
                <w:b/>
                <w:color w:val="000000" w:themeColor="text1"/>
                <w:spacing w:val="-2"/>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rPr>
            </w:pPr>
            <w:r>
              <w:rPr>
                <w:rFonts w:ascii="宋体" w:hAnsi="宋体"/>
                <w:b/>
                <w:color w:val="000000" w:themeColor="text1"/>
                <w:sz w:val="20"/>
                <w:szCs w:val="20"/>
              </w:rPr>
              <w:t>行政部</w:t>
            </w:r>
          </w:p>
        </w:tc>
        <w:tc>
          <w:tcPr>
            <w:tcW w:w="6804" w:type="dxa"/>
          </w:tcPr>
          <w:p>
            <w:pPr>
              <w:jc w:val="left"/>
              <w:rPr>
                <w:rFonts w:ascii="宋体" w:hAnsi="宋体"/>
                <w:b/>
                <w:color w:val="000000" w:themeColor="text1"/>
                <w:spacing w:val="-20"/>
                <w:sz w:val="20"/>
                <w:szCs w:val="20"/>
                <w:u w:val="single"/>
              </w:rPr>
            </w:pPr>
            <w:r>
              <w:rPr>
                <w:rFonts w:hint="eastAsia" w:ascii="宋体" w:hAnsi="宋体"/>
                <w:b/>
                <w:color w:val="000000" w:themeColor="text1"/>
                <w:spacing w:val="-20"/>
                <w:sz w:val="20"/>
                <w:szCs w:val="20"/>
                <w:u w:val="single"/>
              </w:rPr>
              <w:t>体系运行、人力资源、内审、管理评审、监视与绩效考核及其相关的环境、安全管理活动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rPr>
            </w:pPr>
            <w:r>
              <w:rPr>
                <w:rFonts w:ascii="宋体" w:hAnsi="宋体"/>
                <w:b/>
                <w:color w:val="000000" w:themeColor="text1"/>
                <w:sz w:val="20"/>
                <w:szCs w:val="20"/>
              </w:rPr>
              <w:t>采购部</w:t>
            </w:r>
          </w:p>
        </w:tc>
        <w:tc>
          <w:tcPr>
            <w:tcW w:w="6804" w:type="dxa"/>
          </w:tcPr>
          <w:p>
            <w:pPr>
              <w:jc w:val="left"/>
              <w:rPr>
                <w:rFonts w:ascii="宋体" w:hAnsi="宋体"/>
                <w:b/>
                <w:color w:val="000000" w:themeColor="text1"/>
                <w:spacing w:val="-20"/>
                <w:sz w:val="20"/>
                <w:szCs w:val="20"/>
                <w:u w:val="single"/>
              </w:rPr>
            </w:pPr>
            <w:r>
              <w:rPr>
                <w:rFonts w:hint="eastAsia" w:ascii="宋体" w:hAnsi="宋体"/>
                <w:b/>
                <w:color w:val="000000" w:themeColor="text1"/>
                <w:spacing w:val="-20"/>
                <w:sz w:val="20"/>
                <w:szCs w:val="20"/>
                <w:u w:val="single"/>
              </w:rPr>
              <w:t>物质采购及其相关的环境、安全管理活动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rPr>
            </w:pPr>
            <w:r>
              <w:rPr>
                <w:rFonts w:ascii="宋体" w:hAnsi="宋体"/>
                <w:b/>
                <w:color w:val="000000" w:themeColor="text1"/>
                <w:sz w:val="20"/>
                <w:szCs w:val="20"/>
              </w:rPr>
              <w:t>销售部</w:t>
            </w:r>
          </w:p>
        </w:tc>
        <w:tc>
          <w:tcPr>
            <w:tcW w:w="6804" w:type="dxa"/>
          </w:tcPr>
          <w:p>
            <w:pPr>
              <w:jc w:val="left"/>
              <w:rPr>
                <w:rFonts w:ascii="宋体" w:hAnsi="宋体"/>
                <w:b/>
                <w:color w:val="000000" w:themeColor="text1"/>
                <w:spacing w:val="-20"/>
                <w:sz w:val="20"/>
                <w:szCs w:val="20"/>
                <w:u w:val="single"/>
              </w:rPr>
            </w:pPr>
            <w:r>
              <w:rPr>
                <w:rFonts w:hint="eastAsia" w:ascii="宋体" w:hAnsi="宋体"/>
                <w:b/>
                <w:color w:val="000000" w:themeColor="text1"/>
                <w:spacing w:val="-20"/>
                <w:sz w:val="20"/>
                <w:szCs w:val="20"/>
                <w:u w:val="single"/>
              </w:rPr>
              <w:t>产品销售、顾客满意度及其相关的环境、安全管理活动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rPr>
            </w:pPr>
            <w:r>
              <w:rPr>
                <w:rFonts w:ascii="宋体" w:hAnsi="宋体"/>
                <w:b/>
                <w:color w:val="000000" w:themeColor="text1"/>
                <w:sz w:val="20"/>
                <w:szCs w:val="20"/>
              </w:rPr>
              <w:t>生产部</w:t>
            </w:r>
          </w:p>
        </w:tc>
        <w:tc>
          <w:tcPr>
            <w:tcW w:w="6804" w:type="dxa"/>
          </w:tcPr>
          <w:p>
            <w:pPr>
              <w:jc w:val="left"/>
              <w:rPr>
                <w:rFonts w:ascii="宋体" w:hAnsi="宋体"/>
                <w:b/>
                <w:color w:val="000000" w:themeColor="text1"/>
                <w:spacing w:val="-20"/>
                <w:sz w:val="20"/>
                <w:szCs w:val="20"/>
                <w:u w:val="single"/>
              </w:rPr>
            </w:pPr>
            <w:r>
              <w:rPr>
                <w:rFonts w:ascii="宋体" w:hAnsi="宋体"/>
                <w:b/>
                <w:color w:val="000000" w:themeColor="text1"/>
                <w:spacing w:val="-20"/>
                <w:sz w:val="20"/>
                <w:szCs w:val="20"/>
                <w:u w:val="single"/>
              </w:rPr>
              <w:t>产品生产过程及其</w:t>
            </w:r>
            <w:r>
              <w:rPr>
                <w:rFonts w:hint="eastAsia" w:ascii="宋体" w:hAnsi="宋体"/>
                <w:b/>
                <w:color w:val="000000" w:themeColor="text1"/>
                <w:spacing w:val="-20"/>
                <w:sz w:val="20"/>
                <w:szCs w:val="20"/>
                <w:u w:val="single"/>
              </w:rPr>
              <w:t>相关的环境、安全管理活动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Cs w:val="21"/>
              </w:rPr>
            </w:pPr>
            <w:r>
              <w:rPr>
                <w:rFonts w:ascii="宋体" w:hAnsi="宋体"/>
                <w:b/>
                <w:color w:val="000000" w:themeColor="text1"/>
                <w:szCs w:val="21"/>
              </w:rPr>
              <w:t>质检部</w:t>
            </w:r>
          </w:p>
        </w:tc>
        <w:tc>
          <w:tcPr>
            <w:tcW w:w="6804" w:type="dxa"/>
          </w:tcPr>
          <w:p>
            <w:pPr>
              <w:jc w:val="left"/>
              <w:rPr>
                <w:rFonts w:ascii="宋体" w:hAnsi="宋体"/>
                <w:b/>
                <w:color w:val="000000" w:themeColor="text1"/>
                <w:spacing w:val="-20"/>
                <w:szCs w:val="21"/>
                <w:u w:val="single"/>
              </w:rPr>
            </w:pPr>
            <w:r>
              <w:rPr>
                <w:rFonts w:ascii="宋体" w:hAnsi="宋体"/>
                <w:b/>
                <w:color w:val="000000" w:themeColor="text1"/>
                <w:spacing w:val="-20"/>
                <w:szCs w:val="21"/>
                <w:u w:val="single"/>
              </w:rPr>
              <w:t>产品检验、过程控制</w:t>
            </w:r>
            <w:r>
              <w:rPr>
                <w:rFonts w:ascii="宋体" w:hAnsi="宋体"/>
                <w:b/>
                <w:color w:val="000000" w:themeColor="text1"/>
                <w:spacing w:val="-20"/>
                <w:sz w:val="20"/>
                <w:szCs w:val="20"/>
                <w:u w:val="single"/>
              </w:rPr>
              <w:t>及其</w:t>
            </w:r>
            <w:r>
              <w:rPr>
                <w:rFonts w:hint="eastAsia" w:ascii="宋体" w:hAnsi="宋体"/>
                <w:b/>
                <w:color w:val="000000" w:themeColor="text1"/>
                <w:spacing w:val="-20"/>
                <w:sz w:val="20"/>
                <w:szCs w:val="20"/>
                <w:u w:val="single"/>
              </w:rPr>
              <w:t>相关的环境、安全管理活动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hint="default" w:ascii="宋体" w:hAnsi="宋体" w:eastAsia="宋体"/>
                <w:b/>
                <w:color w:val="000000" w:themeColor="text1"/>
                <w:szCs w:val="21"/>
                <w:lang w:val="en-US" w:eastAsia="zh-CN"/>
              </w:rPr>
            </w:pPr>
            <w:r>
              <w:rPr>
                <w:rFonts w:hint="eastAsia" w:ascii="宋体" w:hAnsi="宋体"/>
                <w:b/>
                <w:color w:val="000000" w:themeColor="text1"/>
                <w:szCs w:val="21"/>
                <w:lang w:val="en-US" w:eastAsia="zh-CN"/>
              </w:rPr>
              <w:t>财务部</w:t>
            </w:r>
          </w:p>
        </w:tc>
        <w:tc>
          <w:tcPr>
            <w:tcW w:w="6804" w:type="dxa"/>
          </w:tcPr>
          <w:p>
            <w:pPr>
              <w:jc w:val="left"/>
              <w:rPr>
                <w:rFonts w:hint="default" w:ascii="宋体" w:hAnsi="宋体" w:eastAsia="宋体"/>
                <w:b/>
                <w:color w:val="000000" w:themeColor="text1"/>
                <w:spacing w:val="-20"/>
                <w:szCs w:val="21"/>
                <w:u w:val="single"/>
                <w:lang w:val="en-US" w:eastAsia="zh-CN"/>
              </w:rPr>
            </w:pPr>
            <w:r>
              <w:rPr>
                <w:rFonts w:hint="eastAsia" w:ascii="宋体" w:hAnsi="宋体"/>
                <w:b/>
                <w:color w:val="000000" w:themeColor="text1"/>
                <w:spacing w:val="-20"/>
                <w:szCs w:val="21"/>
                <w:u w:val="single"/>
                <w:lang w:val="en-US" w:eastAsia="zh-CN"/>
              </w:rPr>
              <w:t>体系运行资金的支持</w:t>
            </w:r>
          </w:p>
        </w:tc>
      </w:tr>
    </w:tbl>
    <w:p>
      <w:pPr>
        <w:ind w:left="-137" w:leftChars="-337" w:hanging="571" w:hangingChars="271"/>
        <w:rPr>
          <w:rFonts w:ascii="宋体" w:hAnsi="宋体"/>
          <w:b/>
          <w:color w:val="000000" w:themeColor="text1"/>
          <w:szCs w:val="21"/>
        </w:rPr>
      </w:pPr>
      <w:r>
        <w:rPr>
          <w:b/>
          <w:color w:val="000000" w:themeColor="text1"/>
          <w:szCs w:val="21"/>
        </w:rPr>
        <w:t xml:space="preserve">3. </w:t>
      </w:r>
      <w:r>
        <w:rPr>
          <w:rFonts w:hint="eastAsia" w:ascii="宋体" w:hAnsi="宋体"/>
          <w:b/>
          <w:color w:val="000000" w:themeColor="text1"/>
          <w:szCs w:val="21"/>
        </w:rPr>
        <w:t>已审核的分场所（分中心、分部或不在一起的部门）、临时/流动场所信息</w:t>
      </w:r>
    </w:p>
    <w:p>
      <w:pPr>
        <w:ind w:left="-273" w:leftChars="-337" w:hanging="435" w:hangingChars="271"/>
        <w:rPr>
          <w:rFonts w:hAnsi="宋体"/>
          <w:b/>
          <w:color w:val="000000" w:themeColor="text1"/>
          <w:sz w:val="16"/>
          <w:szCs w:val="16"/>
        </w:rPr>
      </w:pPr>
    </w:p>
    <w:tbl>
      <w:tblPr>
        <w:tblStyle w:val="7"/>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3249"/>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9" w:type="dxa"/>
          </w:tcPr>
          <w:p>
            <w:pPr>
              <w:jc w:val="center"/>
              <w:rPr>
                <w:rFonts w:ascii="宋体" w:hAnsi="宋体"/>
                <w:b/>
                <w:color w:val="000000" w:themeColor="text1"/>
                <w:spacing w:val="-2"/>
                <w:sz w:val="20"/>
                <w:szCs w:val="20"/>
              </w:rPr>
            </w:pPr>
            <w:r>
              <w:rPr>
                <w:rFonts w:hint="eastAsia" w:ascii="宋体" w:hAnsi="宋体"/>
                <w:b/>
                <w:color w:val="000000" w:themeColor="text1"/>
                <w:spacing w:val="-2"/>
                <w:sz w:val="20"/>
                <w:szCs w:val="20"/>
              </w:rPr>
              <w:t>分场所名称</w:t>
            </w:r>
          </w:p>
        </w:tc>
        <w:tc>
          <w:tcPr>
            <w:tcW w:w="3249" w:type="dxa"/>
          </w:tcPr>
          <w:p>
            <w:pPr>
              <w:jc w:val="center"/>
              <w:rPr>
                <w:rFonts w:ascii="宋体" w:hAnsi="宋体"/>
                <w:b/>
                <w:color w:val="000000" w:themeColor="text1"/>
                <w:sz w:val="20"/>
                <w:szCs w:val="20"/>
              </w:rPr>
            </w:pPr>
            <w:r>
              <w:rPr>
                <w:rFonts w:hint="eastAsia" w:ascii="宋体" w:hAnsi="宋体"/>
                <w:b/>
                <w:color w:val="000000" w:themeColor="text1"/>
                <w:sz w:val="20"/>
                <w:szCs w:val="20"/>
              </w:rPr>
              <w:t>职能或过程</w:t>
            </w:r>
            <w:r>
              <w:rPr>
                <w:rFonts w:hint="eastAsia" w:ascii="宋体" w:hAnsi="宋体"/>
                <w:b/>
                <w:color w:val="000000" w:themeColor="text1"/>
                <w:spacing w:val="-2"/>
                <w:sz w:val="20"/>
                <w:szCs w:val="20"/>
              </w:rPr>
              <w:t>:</w:t>
            </w:r>
          </w:p>
        </w:tc>
        <w:tc>
          <w:tcPr>
            <w:tcW w:w="3555" w:type="dxa"/>
          </w:tcPr>
          <w:p>
            <w:pPr>
              <w:jc w:val="center"/>
              <w:rPr>
                <w:rFonts w:ascii="宋体" w:hAnsi="宋体"/>
                <w:b/>
                <w:color w:val="000000" w:themeColor="text1"/>
                <w:sz w:val="20"/>
                <w:szCs w:val="20"/>
              </w:rPr>
            </w:pPr>
            <w:r>
              <w:rPr>
                <w:rFonts w:hint="eastAsia" w:ascii="宋体" w:hAnsi="宋体"/>
                <w:b/>
                <w:color w:val="000000" w:themeColor="text1"/>
                <w:sz w:val="20"/>
                <w:szCs w:val="20"/>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rPr>
            </w:pPr>
          </w:p>
        </w:tc>
        <w:tc>
          <w:tcPr>
            <w:tcW w:w="3249" w:type="dxa"/>
          </w:tcPr>
          <w:p>
            <w:pPr>
              <w:jc w:val="center"/>
              <w:rPr>
                <w:rFonts w:ascii="宋体" w:hAnsi="宋体"/>
                <w:b/>
                <w:color w:val="000000" w:themeColor="text1"/>
                <w:spacing w:val="-20"/>
                <w:sz w:val="20"/>
                <w:szCs w:val="20"/>
                <w:u w:val="single"/>
              </w:rPr>
            </w:pPr>
          </w:p>
        </w:tc>
        <w:tc>
          <w:tcPr>
            <w:tcW w:w="3555" w:type="dxa"/>
          </w:tcPr>
          <w:p>
            <w:pPr>
              <w:jc w:val="center"/>
              <w:rPr>
                <w:rFonts w:ascii="宋体" w:hAnsi="宋体"/>
                <w:b/>
                <w:color w:val="000000" w:themeColor="text1"/>
                <w:spacing w:val="-20"/>
                <w:sz w:val="20"/>
                <w:szCs w:val="2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rPr>
            </w:pPr>
          </w:p>
        </w:tc>
        <w:tc>
          <w:tcPr>
            <w:tcW w:w="3249" w:type="dxa"/>
          </w:tcPr>
          <w:p>
            <w:pPr>
              <w:jc w:val="center"/>
              <w:rPr>
                <w:rFonts w:ascii="宋体" w:hAnsi="宋体"/>
                <w:b/>
                <w:color w:val="000000" w:themeColor="text1"/>
                <w:spacing w:val="-20"/>
                <w:sz w:val="20"/>
                <w:szCs w:val="20"/>
                <w:u w:val="single"/>
              </w:rPr>
            </w:pPr>
          </w:p>
        </w:tc>
        <w:tc>
          <w:tcPr>
            <w:tcW w:w="3555" w:type="dxa"/>
          </w:tcPr>
          <w:p>
            <w:pPr>
              <w:jc w:val="center"/>
              <w:rPr>
                <w:rFonts w:ascii="宋体" w:hAnsi="宋体"/>
                <w:b/>
                <w:color w:val="000000" w:themeColor="text1"/>
                <w:spacing w:val="-20"/>
                <w:sz w:val="20"/>
                <w:szCs w:val="20"/>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rPr>
            </w:pPr>
          </w:p>
        </w:tc>
        <w:tc>
          <w:tcPr>
            <w:tcW w:w="3249" w:type="dxa"/>
          </w:tcPr>
          <w:p>
            <w:pPr>
              <w:jc w:val="center"/>
              <w:rPr>
                <w:rFonts w:ascii="宋体" w:hAnsi="宋体"/>
                <w:b/>
                <w:color w:val="000000" w:themeColor="text1"/>
                <w:spacing w:val="-20"/>
                <w:sz w:val="20"/>
                <w:szCs w:val="20"/>
                <w:u w:val="single"/>
              </w:rPr>
            </w:pPr>
          </w:p>
        </w:tc>
        <w:tc>
          <w:tcPr>
            <w:tcW w:w="3555" w:type="dxa"/>
          </w:tcPr>
          <w:p>
            <w:pPr>
              <w:jc w:val="center"/>
              <w:rPr>
                <w:rFonts w:ascii="宋体" w:hAnsi="宋体"/>
                <w:b/>
                <w:color w:val="000000" w:themeColor="text1"/>
                <w:spacing w:val="-20"/>
                <w:sz w:val="20"/>
                <w:szCs w:val="20"/>
                <w:u w:val="single"/>
              </w:rPr>
            </w:pPr>
          </w:p>
        </w:tc>
      </w:tr>
    </w:tbl>
    <w:p>
      <w:pPr>
        <w:ind w:left="-169" w:leftChars="-337" w:hanging="539" w:hangingChars="271"/>
        <w:rPr>
          <w:rFonts w:hAnsi="宋体"/>
          <w:b/>
          <w:color w:val="000000" w:themeColor="text1"/>
          <w:spacing w:val="-6"/>
          <w:szCs w:val="21"/>
        </w:rPr>
      </w:pPr>
      <w:r>
        <w:rPr>
          <w:rFonts w:hint="eastAsia"/>
          <w:b/>
          <w:color w:val="000000" w:themeColor="text1"/>
          <w:spacing w:val="-6"/>
          <w:szCs w:val="21"/>
        </w:rPr>
        <w:t xml:space="preserve">4. </w:t>
      </w:r>
      <w:r>
        <w:rPr>
          <w:rFonts w:hint="eastAsia" w:hAnsi="宋体"/>
          <w:b/>
          <w:color w:val="000000" w:themeColor="text1"/>
          <w:spacing w:val="-6"/>
          <w:szCs w:val="21"/>
        </w:rPr>
        <w:t>已审核具体的产品</w:t>
      </w:r>
      <w:r>
        <w:rPr>
          <w:rFonts w:hint="eastAsia"/>
          <w:b/>
          <w:color w:val="000000" w:themeColor="text1"/>
          <w:spacing w:val="-6"/>
          <w:szCs w:val="21"/>
        </w:rPr>
        <w:t>/</w:t>
      </w:r>
      <w:r>
        <w:rPr>
          <w:rFonts w:hint="eastAsia" w:hAnsi="宋体"/>
          <w:b/>
          <w:color w:val="000000" w:themeColor="text1"/>
          <w:spacing w:val="-6"/>
          <w:szCs w:val="21"/>
        </w:rPr>
        <w:t>服务</w:t>
      </w:r>
      <w:r>
        <w:rPr>
          <w:rFonts w:hint="eastAsia"/>
          <w:b/>
          <w:color w:val="000000" w:themeColor="text1"/>
          <w:spacing w:val="-6"/>
          <w:szCs w:val="21"/>
        </w:rPr>
        <w:t>/</w:t>
      </w:r>
      <w:r>
        <w:rPr>
          <w:rFonts w:hint="eastAsia" w:hAnsi="宋体"/>
          <w:b/>
          <w:color w:val="000000" w:themeColor="text1"/>
          <w:spacing w:val="-6"/>
          <w:szCs w:val="21"/>
        </w:rPr>
        <w:t>型号</w:t>
      </w:r>
      <w:r>
        <w:rPr>
          <w:rFonts w:hint="eastAsia"/>
          <w:b/>
          <w:color w:val="000000" w:themeColor="text1"/>
          <w:spacing w:val="-6"/>
          <w:szCs w:val="21"/>
        </w:rPr>
        <w:t>/</w:t>
      </w:r>
      <w:r>
        <w:rPr>
          <w:rFonts w:hint="eastAsia" w:hAnsi="宋体"/>
          <w:b/>
          <w:color w:val="000000" w:themeColor="text1"/>
          <w:spacing w:val="-6"/>
          <w:szCs w:val="21"/>
        </w:rPr>
        <w:t>类型</w:t>
      </w:r>
      <w:r>
        <w:rPr>
          <w:rFonts w:hint="eastAsia"/>
          <w:b/>
          <w:color w:val="000000" w:themeColor="text1"/>
          <w:spacing w:val="-6"/>
          <w:szCs w:val="21"/>
        </w:rPr>
        <w:t>/</w:t>
      </w:r>
      <w:r>
        <w:rPr>
          <w:rFonts w:hint="eastAsia" w:hAnsi="宋体"/>
          <w:b/>
          <w:color w:val="000000" w:themeColor="text1"/>
          <w:spacing w:val="-6"/>
          <w:szCs w:val="21"/>
        </w:rPr>
        <w:t>系列和过程（设计</w:t>
      </w:r>
      <w:r>
        <w:rPr>
          <w:rFonts w:hint="eastAsia"/>
          <w:b/>
          <w:color w:val="000000" w:themeColor="text1"/>
          <w:spacing w:val="-6"/>
          <w:szCs w:val="21"/>
        </w:rPr>
        <w:t>/</w:t>
      </w:r>
      <w:r>
        <w:rPr>
          <w:rFonts w:hint="eastAsia" w:hAnsi="宋体"/>
          <w:b/>
          <w:color w:val="000000" w:themeColor="text1"/>
          <w:spacing w:val="-6"/>
          <w:szCs w:val="21"/>
        </w:rPr>
        <w:t>生产</w:t>
      </w:r>
      <w:r>
        <w:rPr>
          <w:rFonts w:hint="eastAsia"/>
          <w:b/>
          <w:color w:val="000000" w:themeColor="text1"/>
          <w:spacing w:val="-6"/>
          <w:szCs w:val="21"/>
        </w:rPr>
        <w:t>┄┄）</w:t>
      </w:r>
      <w:r>
        <w:rPr>
          <w:rFonts w:hint="eastAsia" w:hAnsi="宋体"/>
          <w:b/>
          <w:color w:val="000000" w:themeColor="text1"/>
          <w:spacing w:val="-6"/>
          <w:szCs w:val="21"/>
        </w:rPr>
        <w:t>是</w:t>
      </w:r>
    </w:p>
    <w:p>
      <w:pPr>
        <w:ind w:left="-137" w:leftChars="-337" w:hanging="571" w:hangingChars="271"/>
        <w:rPr>
          <w:b/>
          <w:color w:val="000000" w:themeColor="text1"/>
          <w:szCs w:val="21"/>
          <w:u w:val="single"/>
        </w:rPr>
      </w:pPr>
    </w:p>
    <w:tbl>
      <w:tblPr>
        <w:tblStyle w:val="7"/>
        <w:tblW w:w="10035" w:type="dxa"/>
        <w:tblInd w:w="-8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519"/>
        <w:gridCol w:w="1843"/>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b/>
                <w:color w:val="000000" w:themeColor="text1"/>
                <w:sz w:val="20"/>
                <w:szCs w:val="20"/>
              </w:rPr>
            </w:pPr>
            <w:r>
              <w:rPr>
                <w:rFonts w:hint="eastAsia"/>
                <w:b/>
                <w:color w:val="000000" w:themeColor="text1"/>
                <w:sz w:val="20"/>
                <w:szCs w:val="20"/>
              </w:rPr>
              <w:t>产品名称/</w:t>
            </w:r>
          </w:p>
          <w:p>
            <w:pPr>
              <w:rPr>
                <w:b/>
                <w:color w:val="000000" w:themeColor="text1"/>
                <w:sz w:val="20"/>
                <w:szCs w:val="20"/>
              </w:rPr>
            </w:pPr>
            <w:r>
              <w:rPr>
                <w:rFonts w:hint="eastAsia"/>
                <w:b/>
                <w:color w:val="000000" w:themeColor="text1"/>
                <w:sz w:val="20"/>
                <w:szCs w:val="20"/>
              </w:rPr>
              <w:t>服务名称</w:t>
            </w:r>
          </w:p>
        </w:tc>
        <w:tc>
          <w:tcPr>
            <w:tcW w:w="2519" w:type="dxa"/>
          </w:tcPr>
          <w:p>
            <w:pPr>
              <w:rPr>
                <w:b/>
                <w:color w:val="000000" w:themeColor="text1"/>
                <w:sz w:val="20"/>
                <w:szCs w:val="20"/>
              </w:rPr>
            </w:pPr>
            <w:r>
              <w:rPr>
                <w:rFonts w:hint="eastAsia"/>
                <w:b/>
                <w:color w:val="000000" w:themeColor="text1"/>
                <w:sz w:val="20"/>
                <w:szCs w:val="20"/>
              </w:rPr>
              <w:t>型号/</w:t>
            </w:r>
          </w:p>
          <w:p>
            <w:pPr>
              <w:rPr>
                <w:b/>
                <w:color w:val="000000" w:themeColor="text1"/>
                <w:sz w:val="20"/>
                <w:szCs w:val="20"/>
              </w:rPr>
            </w:pPr>
            <w:r>
              <w:rPr>
                <w:rFonts w:hint="eastAsia"/>
                <w:b/>
                <w:color w:val="000000" w:themeColor="text1"/>
                <w:sz w:val="20"/>
                <w:szCs w:val="20"/>
              </w:rPr>
              <w:t>服务类型</w:t>
            </w:r>
          </w:p>
        </w:tc>
        <w:tc>
          <w:tcPr>
            <w:tcW w:w="1843" w:type="dxa"/>
          </w:tcPr>
          <w:p>
            <w:pPr>
              <w:rPr>
                <w:b/>
                <w:color w:val="000000" w:themeColor="text1"/>
                <w:sz w:val="20"/>
                <w:szCs w:val="20"/>
              </w:rPr>
            </w:pPr>
            <w:r>
              <w:rPr>
                <w:rFonts w:hint="eastAsia"/>
                <w:b/>
                <w:color w:val="000000" w:themeColor="text1"/>
                <w:sz w:val="20"/>
                <w:szCs w:val="20"/>
              </w:rPr>
              <w:t>规格</w:t>
            </w:r>
          </w:p>
        </w:tc>
        <w:tc>
          <w:tcPr>
            <w:tcW w:w="3543" w:type="dxa"/>
          </w:tcPr>
          <w:p>
            <w:pPr>
              <w:rPr>
                <w:b/>
                <w:color w:val="000000" w:themeColor="text1"/>
                <w:sz w:val="20"/>
                <w:szCs w:val="20"/>
              </w:rPr>
            </w:pPr>
            <w:r>
              <w:rPr>
                <w:rFonts w:hint="eastAsia"/>
                <w:b/>
                <w:color w:val="000000" w:themeColor="text1"/>
                <w:sz w:val="20"/>
                <w:szCs w:val="20"/>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320" w:lineRule="exact"/>
              <w:rPr>
                <w:rFonts w:ascii="宋体" w:hAnsi="宋体"/>
                <w:b/>
                <w:color w:val="000000" w:themeColor="text1"/>
                <w:sz w:val="20"/>
                <w:szCs w:val="20"/>
                <w:u w:val="single"/>
              </w:rPr>
            </w:pPr>
            <w:r>
              <w:rPr>
                <w:rFonts w:ascii="宋体" w:hAnsi="宋体"/>
                <w:b/>
                <w:color w:val="000000" w:themeColor="text1"/>
                <w:sz w:val="20"/>
                <w:szCs w:val="20"/>
              </w:rPr>
              <w:t>办公家具（办公桌、办公椅）；钢木家具（钢（木）公寓床、钢（木）书架、钢（木）期刊架（柜）、钢（木）阅览桌（椅）、钢（木）展柜、）；公交候车亭、智能公交电子站牌、课桌（椅）、军用床、智能型密集架、智能型书架、手动密集架、博物馆珍藏架、文物柜（架）、重型货架、药品架（柜）、文件柜、防磁柜、保险柜、智能枪（弹）柜、金库门、活动库房、爆炸危险品移动库房、智能存放架、电脑桌（椅）、会议桌（椅）、培训桌（椅）、茶水柜、古籍书柜、字画箱（柜）、服务台、讲台的设计、生产制造及环卫设备（垃圾箱、垃圾桶、环卫车）、教学仪器设备的销售</w:t>
            </w:r>
          </w:p>
          <w:p>
            <w:pPr>
              <w:rPr>
                <w:color w:val="000000" w:themeColor="text1"/>
                <w:sz w:val="20"/>
                <w:szCs w:val="20"/>
              </w:rPr>
            </w:pPr>
          </w:p>
        </w:tc>
        <w:tc>
          <w:tcPr>
            <w:tcW w:w="2519" w:type="dxa"/>
          </w:tcPr>
          <w:p>
            <w:pPr>
              <w:rPr>
                <w:color w:val="000000" w:themeColor="text1"/>
                <w:sz w:val="20"/>
                <w:szCs w:val="20"/>
              </w:rPr>
            </w:pPr>
          </w:p>
        </w:tc>
        <w:tc>
          <w:tcPr>
            <w:tcW w:w="1843" w:type="dxa"/>
          </w:tcPr>
          <w:p>
            <w:pPr>
              <w:rPr>
                <w:color w:val="000000" w:themeColor="text1"/>
                <w:sz w:val="20"/>
                <w:szCs w:val="20"/>
              </w:rPr>
            </w:pPr>
          </w:p>
        </w:tc>
        <w:tc>
          <w:tcPr>
            <w:tcW w:w="3543" w:type="dxa"/>
          </w:tcPr>
          <w:p>
            <w:pPr>
              <w:rPr>
                <w:color w:val="000000" w:themeColor="text1"/>
                <w:sz w:val="20"/>
                <w:szCs w:val="20"/>
              </w:rPr>
            </w:pPr>
            <w:r>
              <w:rPr>
                <w:rFonts w:hint="eastAsia" w:ascii="宋体" w:hAnsi="宋体" w:eastAsia="宋体" w:cs="宋体"/>
                <w:b/>
                <w:bCs/>
                <w:sz w:val="21"/>
                <w:szCs w:val="21"/>
                <w:lang w:eastAsia="zh-CN"/>
              </w:rPr>
              <w:t>金属</w:t>
            </w:r>
            <w:r>
              <w:rPr>
                <w:rFonts w:hint="eastAsia" w:ascii="宋体" w:hAnsi="宋体" w:eastAsia="宋体" w:cs="宋体"/>
                <w:b/>
                <w:bCs/>
                <w:sz w:val="21"/>
                <w:szCs w:val="21"/>
              </w:rPr>
              <w:t>家具通用技术条件</w:t>
            </w:r>
            <w:r>
              <w:rPr>
                <w:rFonts w:hint="eastAsia" w:ascii="宋体" w:hAnsi="宋体" w:eastAsia="宋体" w:cs="宋体"/>
                <w:b/>
                <w:bCs/>
                <w:sz w:val="21"/>
                <w:szCs w:val="21"/>
                <w:lang w:eastAsia="zh-CN"/>
              </w:rPr>
              <w:t>GB/T</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lang w:eastAsia="zh-CN"/>
              </w:rPr>
              <w:t>332</w:t>
            </w:r>
            <w:r>
              <w:rPr>
                <w:rFonts w:hint="eastAsia" w:ascii="宋体" w:hAnsi="宋体" w:eastAsia="宋体" w:cs="宋体"/>
                <w:b/>
                <w:bCs/>
                <w:sz w:val="21"/>
                <w:szCs w:val="21"/>
                <w:lang w:val="en-US" w:eastAsia="zh-CN"/>
              </w:rPr>
              <w:t>5</w:t>
            </w:r>
            <w:r>
              <w:rPr>
                <w:rFonts w:hint="eastAsia" w:ascii="宋体" w:hAnsi="宋体" w:eastAsia="宋体" w:cs="宋体"/>
                <w:b/>
                <w:bCs/>
                <w:sz w:val="21"/>
                <w:szCs w:val="21"/>
                <w:lang w:eastAsia="zh-CN"/>
              </w:rPr>
              <w:t>-20</w:t>
            </w:r>
            <w:r>
              <w:rPr>
                <w:rFonts w:hint="eastAsia" w:ascii="宋体" w:hAnsi="宋体" w:eastAsia="宋体" w:cs="宋体"/>
                <w:b/>
                <w:bCs/>
                <w:sz w:val="21"/>
                <w:szCs w:val="21"/>
                <w:lang w:val="en-US" w:eastAsia="zh-CN"/>
              </w:rPr>
              <w:t>17、</w:t>
            </w:r>
            <w:r>
              <w:rPr>
                <w:rFonts w:hint="eastAsia" w:ascii="宋体" w:hAnsi="宋体" w:eastAsia="宋体" w:cs="宋体"/>
                <w:b/>
                <w:bCs/>
                <w:sz w:val="21"/>
                <w:szCs w:val="21"/>
              </w:rPr>
              <w:t>金库门通用技术条件</w:t>
            </w:r>
            <w:r>
              <w:rPr>
                <w:rFonts w:hint="eastAsia" w:ascii="宋体" w:hAnsi="宋体" w:eastAsia="宋体" w:cs="宋体"/>
                <w:b/>
                <w:bCs/>
                <w:sz w:val="21"/>
                <w:szCs w:val="21"/>
                <w:lang w:eastAsia="zh-CN"/>
              </w:rPr>
              <w:t>GA/T143—1996、</w:t>
            </w:r>
            <w:r>
              <w:rPr>
                <w:rFonts w:hint="eastAsia" w:ascii="宋体" w:hAnsi="宋体" w:eastAsia="宋体" w:cs="宋体"/>
                <w:b/>
                <w:bCs/>
                <w:sz w:val="21"/>
                <w:szCs w:val="21"/>
              </w:rPr>
              <w:t xml:space="preserve">电动密集书架技术条件 </w:t>
            </w:r>
            <w:r>
              <w:rPr>
                <w:rFonts w:hint="eastAsia" w:ascii="宋体" w:hAnsi="宋体" w:eastAsia="宋体" w:cs="宋体"/>
                <w:b/>
                <w:bCs/>
                <w:sz w:val="21"/>
                <w:szCs w:val="21"/>
                <w:lang w:eastAsia="zh-CN"/>
              </w:rPr>
              <w:t>GB/T</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lang w:eastAsia="zh-CN"/>
              </w:rPr>
              <w:t>13677.4—20</w:t>
            </w:r>
            <w:r>
              <w:rPr>
                <w:rFonts w:hint="eastAsia" w:ascii="宋体" w:hAnsi="宋体" w:eastAsia="宋体" w:cs="宋体"/>
                <w:b/>
                <w:bCs/>
                <w:sz w:val="21"/>
                <w:szCs w:val="21"/>
                <w:lang w:val="en-US" w:eastAsia="zh-CN"/>
              </w:rPr>
              <w:t>13、</w:t>
            </w:r>
            <w:r>
              <w:rPr>
                <w:rFonts w:hint="eastAsia" w:ascii="宋体" w:hAnsi="宋体" w:eastAsia="宋体" w:cs="宋体"/>
                <w:b/>
                <w:bCs/>
                <w:sz w:val="21"/>
                <w:szCs w:val="21"/>
              </w:rPr>
              <w:t>涂装作业安全规程-粉末静电喷涂工艺安全</w:t>
            </w:r>
            <w:r>
              <w:rPr>
                <w:rFonts w:hint="eastAsia" w:ascii="宋体" w:hAnsi="宋体" w:eastAsia="宋体" w:cs="宋体"/>
                <w:b/>
                <w:bCs/>
                <w:sz w:val="21"/>
                <w:szCs w:val="21"/>
                <w:lang w:eastAsia="zh-CN"/>
              </w:rPr>
              <w:t>GB</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lang w:eastAsia="zh-CN"/>
              </w:rPr>
              <w:t>15067-2008</w:t>
            </w:r>
            <w:r>
              <w:rPr>
                <w:rFonts w:hint="eastAsia" w:ascii="宋体" w:hAnsi="宋体" w:eastAsia="宋体" w:cs="宋体"/>
                <w:b/>
                <w:bCs/>
                <w:sz w:val="21"/>
                <w:szCs w:val="21"/>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b/>
                <w:color w:val="000000" w:themeColor="text1"/>
                <w:sz w:val="20"/>
                <w:szCs w:val="20"/>
              </w:rPr>
            </w:pPr>
          </w:p>
        </w:tc>
        <w:tc>
          <w:tcPr>
            <w:tcW w:w="2519" w:type="dxa"/>
          </w:tcPr>
          <w:p>
            <w:pPr>
              <w:rPr>
                <w:b/>
                <w:color w:val="000000" w:themeColor="text1"/>
                <w:sz w:val="20"/>
                <w:szCs w:val="20"/>
              </w:rPr>
            </w:pPr>
          </w:p>
        </w:tc>
        <w:tc>
          <w:tcPr>
            <w:tcW w:w="1843" w:type="dxa"/>
          </w:tcPr>
          <w:p>
            <w:pPr>
              <w:rPr>
                <w:b/>
                <w:color w:val="000000" w:themeColor="text1"/>
                <w:sz w:val="20"/>
                <w:szCs w:val="20"/>
              </w:rPr>
            </w:pPr>
          </w:p>
        </w:tc>
        <w:tc>
          <w:tcPr>
            <w:tcW w:w="3543" w:type="dxa"/>
          </w:tcPr>
          <w:p>
            <w:pPr>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b/>
                <w:color w:val="000000" w:themeColor="text1"/>
                <w:sz w:val="20"/>
                <w:szCs w:val="20"/>
              </w:rPr>
            </w:pPr>
          </w:p>
        </w:tc>
        <w:tc>
          <w:tcPr>
            <w:tcW w:w="2519" w:type="dxa"/>
          </w:tcPr>
          <w:p>
            <w:pPr>
              <w:rPr>
                <w:b/>
                <w:color w:val="000000" w:themeColor="text1"/>
                <w:sz w:val="20"/>
                <w:szCs w:val="20"/>
              </w:rPr>
            </w:pPr>
          </w:p>
        </w:tc>
        <w:tc>
          <w:tcPr>
            <w:tcW w:w="1843" w:type="dxa"/>
          </w:tcPr>
          <w:p>
            <w:pPr>
              <w:rPr>
                <w:b/>
                <w:color w:val="000000" w:themeColor="text1"/>
                <w:sz w:val="20"/>
                <w:szCs w:val="20"/>
              </w:rPr>
            </w:pPr>
          </w:p>
        </w:tc>
        <w:tc>
          <w:tcPr>
            <w:tcW w:w="3543" w:type="dxa"/>
          </w:tcPr>
          <w:p>
            <w:pPr>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b/>
                <w:color w:val="000000" w:themeColor="text1"/>
                <w:sz w:val="20"/>
                <w:szCs w:val="20"/>
              </w:rPr>
            </w:pPr>
          </w:p>
        </w:tc>
        <w:tc>
          <w:tcPr>
            <w:tcW w:w="2519" w:type="dxa"/>
          </w:tcPr>
          <w:p>
            <w:pPr>
              <w:rPr>
                <w:b/>
                <w:color w:val="000000" w:themeColor="text1"/>
                <w:sz w:val="20"/>
                <w:szCs w:val="20"/>
              </w:rPr>
            </w:pPr>
          </w:p>
        </w:tc>
        <w:tc>
          <w:tcPr>
            <w:tcW w:w="1843" w:type="dxa"/>
          </w:tcPr>
          <w:p>
            <w:pPr>
              <w:rPr>
                <w:b/>
                <w:color w:val="000000" w:themeColor="text1"/>
                <w:sz w:val="20"/>
                <w:szCs w:val="20"/>
              </w:rPr>
            </w:pPr>
          </w:p>
        </w:tc>
        <w:tc>
          <w:tcPr>
            <w:tcW w:w="3543" w:type="dxa"/>
          </w:tcPr>
          <w:p>
            <w:pPr>
              <w:rPr>
                <w:b/>
                <w:color w:val="000000" w:themeColor="text1"/>
                <w:sz w:val="20"/>
                <w:szCs w:val="20"/>
              </w:rPr>
            </w:pPr>
          </w:p>
        </w:tc>
      </w:tr>
    </w:tbl>
    <w:p>
      <w:pPr>
        <w:spacing w:line="360" w:lineRule="auto"/>
        <w:ind w:left="-137" w:leftChars="-337" w:hanging="571" w:hangingChars="271"/>
        <w:rPr>
          <w:b/>
          <w:color w:val="000000" w:themeColor="text1"/>
          <w:szCs w:val="21"/>
        </w:rPr>
      </w:pPr>
      <w:r>
        <w:rPr>
          <w:b/>
          <w:color w:val="000000" w:themeColor="text1"/>
          <w:szCs w:val="21"/>
        </w:rPr>
        <w:t>5</w:t>
      </w:r>
      <w:r>
        <w:rPr>
          <w:rFonts w:hint="eastAsia"/>
          <w:b/>
          <w:color w:val="000000" w:themeColor="text1"/>
          <w:szCs w:val="21"/>
        </w:rPr>
        <w:t>. 本次审核覆盖时期：</w:t>
      </w:r>
    </w:p>
    <w:p>
      <w:pPr>
        <w:spacing w:line="360" w:lineRule="auto"/>
        <w:ind w:left="-191" w:leftChars="-337" w:hanging="517" w:hangingChars="271"/>
        <w:rPr>
          <w:b/>
          <w:color w:val="000000" w:themeColor="text1"/>
          <w:spacing w:val="-10"/>
          <w:szCs w:val="21"/>
        </w:rPr>
      </w:pPr>
      <w:r>
        <w:rPr>
          <w:rFonts w:hint="eastAsia"/>
          <w:b/>
          <w:color w:val="000000"/>
          <w:spacing w:val="-10"/>
          <w:szCs w:val="21"/>
        </w:rPr>
        <w:t>■</w:t>
      </w:r>
      <w:r>
        <w:rPr>
          <w:rFonts w:hint="eastAsia"/>
          <w:b/>
          <w:color w:val="000000" w:themeColor="text1"/>
          <w:spacing w:val="-10"/>
          <w:szCs w:val="21"/>
        </w:rPr>
        <w:t>体系运行开始的20</w:t>
      </w:r>
      <w:r>
        <w:rPr>
          <w:rFonts w:hint="eastAsia"/>
          <w:b/>
          <w:color w:val="000000" w:themeColor="text1"/>
          <w:spacing w:val="-10"/>
          <w:szCs w:val="21"/>
          <w:lang w:val="en-US" w:eastAsia="zh-CN"/>
        </w:rPr>
        <w:t>20</w:t>
      </w:r>
      <w:r>
        <w:rPr>
          <w:rFonts w:hint="eastAsia"/>
          <w:b/>
          <w:color w:val="000000" w:themeColor="text1"/>
          <w:spacing w:val="-10"/>
          <w:szCs w:val="21"/>
        </w:rPr>
        <w:t>年1月</w:t>
      </w:r>
      <w:bookmarkStart w:id="20" w:name="OLE_LINK1"/>
      <w:r>
        <w:rPr>
          <w:rFonts w:hint="eastAsia"/>
          <w:b/>
          <w:color w:val="000000" w:themeColor="text1"/>
          <w:spacing w:val="-10"/>
          <w:szCs w:val="21"/>
          <w:lang w:val="en-US" w:eastAsia="zh-CN"/>
        </w:rPr>
        <w:t>2</w:t>
      </w:r>
      <w:r>
        <w:rPr>
          <w:rFonts w:hint="eastAsia"/>
          <w:b/>
          <w:color w:val="000000" w:themeColor="text1"/>
          <w:spacing w:val="-10"/>
          <w:szCs w:val="21"/>
        </w:rPr>
        <w:t>日</w:t>
      </w:r>
      <w:bookmarkEnd w:id="20"/>
      <w:r>
        <w:rPr>
          <w:rFonts w:hint="eastAsia"/>
          <w:b/>
          <w:color w:val="000000" w:themeColor="text1"/>
          <w:spacing w:val="-10"/>
          <w:szCs w:val="21"/>
        </w:rPr>
        <w:t>至2020年5月1</w:t>
      </w:r>
      <w:r>
        <w:rPr>
          <w:rFonts w:hint="eastAsia"/>
          <w:b/>
          <w:color w:val="000000" w:themeColor="text1"/>
          <w:spacing w:val="-10"/>
          <w:szCs w:val="21"/>
          <w:lang w:val="en-US" w:eastAsia="zh-CN"/>
        </w:rPr>
        <w:t>6</w:t>
      </w:r>
      <w:r>
        <w:rPr>
          <w:rFonts w:hint="eastAsia"/>
          <w:b/>
          <w:color w:val="000000" w:themeColor="text1"/>
          <w:spacing w:val="-10"/>
          <w:szCs w:val="21"/>
        </w:rPr>
        <w:t>日。</w:t>
      </w:r>
    </w:p>
    <w:p>
      <w:pPr>
        <w:spacing w:line="360" w:lineRule="auto"/>
        <w:ind w:left="-191" w:leftChars="-337" w:hanging="517" w:hangingChars="271"/>
        <w:rPr>
          <w:b/>
          <w:color w:val="000000" w:themeColor="text1"/>
          <w:spacing w:val="-10"/>
          <w:szCs w:val="21"/>
          <w:u w:val="single"/>
        </w:rPr>
      </w:pPr>
      <w:r>
        <w:rPr>
          <w:rFonts w:hint="eastAsia"/>
          <w:b/>
          <w:color w:val="000000" w:themeColor="text1"/>
          <w:spacing w:val="-10"/>
          <w:szCs w:val="21"/>
        </w:rPr>
        <w:t>□上次审核时间年月日至年月日（再认证填写）</w:t>
      </w:r>
    </w:p>
    <w:p>
      <w:pPr>
        <w:spacing w:line="360" w:lineRule="auto"/>
        <w:ind w:left="-191" w:leftChars="-337" w:hanging="517" w:hangingChars="271"/>
        <w:rPr>
          <w:b/>
          <w:color w:val="000000" w:themeColor="text1"/>
          <w:spacing w:val="-10"/>
          <w:szCs w:val="21"/>
        </w:rPr>
      </w:pPr>
      <w:r>
        <w:rPr>
          <w:rFonts w:hint="eastAsia"/>
          <w:b/>
          <w:color w:val="000000" w:themeColor="text1"/>
          <w:spacing w:val="-10"/>
          <w:szCs w:val="21"/>
        </w:rPr>
        <w:t>6. 完成情况说明:</w:t>
      </w:r>
    </w:p>
    <w:p>
      <w:pPr>
        <w:spacing w:line="360" w:lineRule="auto"/>
        <w:ind w:left="-191" w:leftChars="-337" w:hanging="517" w:hangingChars="271"/>
        <w:rPr>
          <w:b/>
          <w:color w:val="000000" w:themeColor="text1"/>
          <w:spacing w:val="-10"/>
          <w:szCs w:val="21"/>
        </w:rPr>
      </w:pPr>
      <w:r>
        <w:rPr>
          <w:rFonts w:hint="eastAsia"/>
          <w:b/>
          <w:color w:val="000000"/>
          <w:spacing w:val="-10"/>
          <w:szCs w:val="21"/>
        </w:rPr>
        <w:t>■</w:t>
      </w:r>
      <w:r>
        <w:rPr>
          <w:rFonts w:hint="eastAsia" w:ascii="宋体" w:hAnsi="宋体"/>
          <w:b/>
          <w:color w:val="000000" w:themeColor="text1"/>
          <w:szCs w:val="21"/>
        </w:rPr>
        <w:t>已完成审核计划的全部工作</w:t>
      </w:r>
    </w:p>
    <w:p>
      <w:pPr>
        <w:spacing w:line="360" w:lineRule="auto"/>
        <w:ind w:left="-191" w:leftChars="-337" w:hanging="517" w:hangingChars="271"/>
        <w:rPr>
          <w:b/>
          <w:color w:val="000000" w:themeColor="text1"/>
          <w:spacing w:val="-10"/>
          <w:w w:val="90"/>
          <w:szCs w:val="21"/>
        </w:rPr>
      </w:pPr>
      <w:r>
        <w:rPr>
          <w:rFonts w:hint="eastAsia"/>
          <w:b/>
          <w:color w:val="000000" w:themeColor="text1"/>
          <w:spacing w:val="-10"/>
          <w:szCs w:val="21"/>
        </w:rPr>
        <w:t>□</w:t>
      </w:r>
      <w:r>
        <w:rPr>
          <w:rFonts w:hint="eastAsia" w:ascii="宋体" w:hAnsi="宋体"/>
          <w:b/>
          <w:color w:val="000000" w:themeColor="text1"/>
          <w:szCs w:val="21"/>
        </w:rPr>
        <w:t>计划有修改，但不会影响审核结论，修改的内容和原因是</w:t>
      </w:r>
    </w:p>
    <w:p>
      <w:pPr>
        <w:spacing w:line="360" w:lineRule="auto"/>
        <w:ind w:left="-191" w:leftChars="-337" w:hanging="517" w:hangingChars="271"/>
        <w:rPr>
          <w:b/>
          <w:color w:val="000000" w:themeColor="text1"/>
          <w:spacing w:val="-10"/>
          <w:szCs w:val="21"/>
        </w:rPr>
      </w:pPr>
      <w:r>
        <w:rPr>
          <w:rFonts w:hint="eastAsia"/>
          <w:b/>
          <w:color w:val="000000" w:themeColor="text1"/>
          <w:spacing w:val="-10"/>
          <w:szCs w:val="21"/>
        </w:rPr>
        <w:t>□</w:t>
      </w:r>
      <w:r>
        <w:rPr>
          <w:rFonts w:hint="eastAsia" w:ascii="宋体" w:hAnsi="宋体"/>
          <w:b/>
          <w:color w:val="000000" w:themeColor="text1"/>
          <w:szCs w:val="21"/>
        </w:rPr>
        <w:t>未完成计划，未完成的内容和原因是:</w:t>
      </w:r>
    </w:p>
    <w:p>
      <w:pPr>
        <w:spacing w:beforeLines="100" w:line="320" w:lineRule="exact"/>
        <w:ind w:left="-1" w:leftChars="-337" w:hanging="707" w:hangingChars="271"/>
        <w:rPr>
          <w:b/>
          <w:color w:val="000000" w:themeColor="text1"/>
          <w:sz w:val="16"/>
          <w:szCs w:val="16"/>
        </w:rPr>
      </w:pPr>
      <w:r>
        <w:rPr>
          <w:rFonts w:hint="eastAsia" w:ascii="宋体" w:hAnsi="宋体"/>
          <w:b/>
          <w:color w:val="000000" w:themeColor="text1"/>
          <w:sz w:val="26"/>
          <w:szCs w:val="26"/>
        </w:rPr>
        <w:t>六、审核发现及审核证据说明</w:t>
      </w:r>
    </w:p>
    <w:tbl>
      <w:tblPr>
        <w:tblStyle w:val="6"/>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5" w:hRule="atLeast"/>
          <w:jc w:val="center"/>
        </w:trPr>
        <w:tc>
          <w:tcPr>
            <w:tcW w:w="720" w:type="dxa"/>
            <w:vMerge w:val="restart"/>
            <w:textDirection w:val="tbRlV"/>
            <w:vAlign w:val="center"/>
          </w:tcPr>
          <w:p>
            <w:pPr>
              <w:spacing w:line="240" w:lineRule="exact"/>
              <w:ind w:left="201" w:right="113" w:hanging="201" w:hangingChars="100"/>
              <w:jc w:val="center"/>
              <w:rPr>
                <w:rFonts w:ascii="宋体" w:hAnsi="宋体"/>
                <w:b/>
                <w:color w:val="000000" w:themeColor="text1"/>
                <w:sz w:val="20"/>
                <w:szCs w:val="20"/>
              </w:rPr>
            </w:pPr>
            <w:r>
              <w:rPr>
                <w:rFonts w:hint="eastAsia" w:ascii="宋体" w:hAnsi="宋体"/>
                <w:b/>
                <w:color w:val="000000" w:themeColor="text1"/>
                <w:sz w:val="20"/>
                <w:szCs w:val="20"/>
              </w:rPr>
              <w:t>(一)策划的充分与合理性</w:t>
            </w:r>
          </w:p>
        </w:tc>
        <w:tc>
          <w:tcPr>
            <w:tcW w:w="9198" w:type="dxa"/>
          </w:tcPr>
          <w:p>
            <w:pPr>
              <w:spacing w:line="240" w:lineRule="exact"/>
              <w:rPr>
                <w:b/>
                <w:color w:val="000000" w:themeColor="text1"/>
                <w:sz w:val="20"/>
                <w:szCs w:val="20"/>
              </w:rPr>
            </w:pPr>
            <w:r>
              <w:rPr>
                <w:b/>
                <w:color w:val="000000" w:themeColor="text1"/>
                <w:sz w:val="20"/>
                <w:szCs w:val="20"/>
              </w:rPr>
              <w:t>1、</w:t>
            </w:r>
            <w:r>
              <w:rPr>
                <w:rFonts w:hint="eastAsia"/>
                <w:b/>
                <w:color w:val="000000" w:themeColor="text1"/>
                <w:sz w:val="20"/>
                <w:szCs w:val="20"/>
              </w:rPr>
              <w:t>组织及其环境的识别情况</w:t>
            </w:r>
          </w:p>
          <w:p>
            <w:pPr>
              <w:spacing w:line="360" w:lineRule="auto"/>
              <w:ind w:firstLine="480"/>
              <w:jc w:val="left"/>
              <w:rPr>
                <w:rFonts w:ascii="宋体"/>
                <w:sz w:val="20"/>
                <w:szCs w:val="20"/>
              </w:rPr>
            </w:pPr>
            <w:r>
              <w:rPr>
                <w:rFonts w:hint="eastAsia" w:ascii="宋体" w:hAnsi="宋体"/>
                <w:sz w:val="20"/>
                <w:szCs w:val="20"/>
              </w:rPr>
              <w:t>公司确定与目标和战略方向相关并影响公司实现三标一体化管理体系预期结果的各种外部和内部因素（问题），这些问题包括受公司影响的或能够影响公司的环境状况；并对这些内部和外部因素的相关信息进行监视和评审。</w:t>
            </w:r>
          </w:p>
          <w:p>
            <w:pPr>
              <w:spacing w:line="360" w:lineRule="auto"/>
              <w:ind w:firstLine="480"/>
              <w:jc w:val="left"/>
              <w:rPr>
                <w:rFonts w:ascii="宋体"/>
                <w:sz w:val="20"/>
                <w:szCs w:val="20"/>
              </w:rPr>
            </w:pPr>
            <w:r>
              <w:rPr>
                <w:rFonts w:hint="eastAsia" w:ascii="宋体" w:hAnsi="宋体"/>
                <w:sz w:val="20"/>
                <w:szCs w:val="20"/>
              </w:rPr>
              <w:t>内部因素包括公司的总体表现（如财务因素）、资源因素（如基础设施、过程运行环境、公司的知识）、人力因素（如人员能力、公司文化、工会谈判和协议）、运营因素（如过程、销售或交付能力、质量管理体系绩效、顾客评价）、组织治理相关因素（如决策的规则和程序及组织架构）。</w:t>
            </w:r>
          </w:p>
          <w:p>
            <w:pPr>
              <w:spacing w:line="360" w:lineRule="auto"/>
              <w:ind w:firstLine="480"/>
              <w:jc w:val="left"/>
              <w:rPr>
                <w:rFonts w:ascii="宋体"/>
                <w:sz w:val="20"/>
                <w:szCs w:val="20"/>
              </w:rPr>
            </w:pPr>
            <w:r>
              <w:rPr>
                <w:rFonts w:hint="eastAsia" w:ascii="宋体" w:hAnsi="宋体"/>
                <w:sz w:val="20"/>
                <w:szCs w:val="20"/>
              </w:rPr>
              <w:t>外部因素包括宏观经济学因素（如货币兑换汇率预测、国家经济走向、通货膨胀预测、信贷可得性）、社会因素（如本地失业率、安全感、教育水平、公共假日及工作时间）、政治因素（如政治稳定性、公共投入、本地基础设施、国际贸易协议）、技术因素（如新领域科技、材料及设施、专利有效期、职业道德准则）、竞争力（如公司市场占有率、相似或可替代产品及服务、市场领先者趋势、顾客增长趋势、市场稳定性）、影响工作环境的因素（如法律法规要求、包括环境法规及行为准则）等。</w:t>
            </w:r>
          </w:p>
          <w:p>
            <w:pPr>
              <w:spacing w:line="240" w:lineRule="exac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720" w:type="dxa"/>
            <w:vMerge w:val="continue"/>
            <w:textDirection w:val="tbRlV"/>
            <w:vAlign w:val="center"/>
          </w:tcPr>
          <w:p>
            <w:pPr>
              <w:spacing w:line="240" w:lineRule="exact"/>
              <w:ind w:left="201" w:right="113" w:hanging="201" w:hangingChars="100"/>
              <w:jc w:val="center"/>
              <w:rPr>
                <w:rFonts w:ascii="宋体" w:hAnsi="宋体"/>
                <w:b/>
                <w:color w:val="000000" w:themeColor="text1"/>
                <w:sz w:val="20"/>
                <w:szCs w:val="20"/>
              </w:rPr>
            </w:pPr>
          </w:p>
        </w:tc>
        <w:tc>
          <w:tcPr>
            <w:tcW w:w="9198" w:type="dxa"/>
          </w:tcPr>
          <w:p>
            <w:pPr>
              <w:spacing w:line="240" w:lineRule="exact"/>
              <w:rPr>
                <w:b/>
                <w:color w:val="000000" w:themeColor="text1"/>
                <w:sz w:val="20"/>
                <w:szCs w:val="20"/>
              </w:rPr>
            </w:pPr>
            <w:r>
              <w:rPr>
                <w:b/>
                <w:color w:val="000000" w:themeColor="text1"/>
                <w:sz w:val="20"/>
                <w:szCs w:val="20"/>
              </w:rPr>
              <w:t>2、</w:t>
            </w:r>
            <w:r>
              <w:rPr>
                <w:rFonts w:hint="eastAsia"/>
                <w:b/>
                <w:color w:val="000000" w:themeColor="text1"/>
                <w:sz w:val="20"/>
                <w:szCs w:val="20"/>
              </w:rPr>
              <w:t>相关方需求和期望识别情况</w:t>
            </w:r>
          </w:p>
          <w:p>
            <w:pPr>
              <w:spacing w:line="360" w:lineRule="auto"/>
              <w:ind w:firstLine="480"/>
              <w:jc w:val="left"/>
              <w:rPr>
                <w:rFonts w:ascii="宋体"/>
                <w:sz w:val="20"/>
                <w:szCs w:val="20"/>
              </w:rPr>
            </w:pPr>
            <w:r>
              <w:rPr>
                <w:rFonts w:hint="eastAsia" w:ascii="宋体" w:hAnsi="宋体"/>
                <w:sz w:val="20"/>
                <w:szCs w:val="20"/>
              </w:rPr>
              <w:t>由于相关方对公司持续提供符合顾客要求和适用法律法规要求的产品和服务的能力产生影响或潜在影响，因此，公司确定：</w:t>
            </w:r>
          </w:p>
          <w:p>
            <w:pPr>
              <w:numPr>
                <w:ilvl w:val="0"/>
                <w:numId w:val="2"/>
              </w:numPr>
              <w:spacing w:line="360" w:lineRule="auto"/>
              <w:jc w:val="left"/>
              <w:rPr>
                <w:rFonts w:ascii="宋体"/>
                <w:sz w:val="20"/>
                <w:szCs w:val="20"/>
              </w:rPr>
            </w:pPr>
            <w:r>
              <w:rPr>
                <w:rFonts w:hint="eastAsia" w:ascii="宋体" w:hAnsi="宋体"/>
                <w:sz w:val="20"/>
                <w:szCs w:val="20"/>
              </w:rPr>
              <w:t>与三标一体化管理体系有关的相关方；</w:t>
            </w:r>
          </w:p>
          <w:p>
            <w:pPr>
              <w:numPr>
                <w:ilvl w:val="0"/>
                <w:numId w:val="2"/>
              </w:numPr>
              <w:spacing w:line="360" w:lineRule="auto"/>
              <w:jc w:val="left"/>
              <w:rPr>
                <w:rFonts w:ascii="宋体"/>
                <w:sz w:val="20"/>
                <w:szCs w:val="20"/>
              </w:rPr>
            </w:pPr>
            <w:r>
              <w:rPr>
                <w:rFonts w:hint="eastAsia" w:ascii="宋体" w:hAnsi="宋体"/>
                <w:sz w:val="20"/>
                <w:szCs w:val="20"/>
              </w:rPr>
              <w:t>与三标一体化管理体系有关的相关方的要求；</w:t>
            </w:r>
          </w:p>
          <w:p>
            <w:pPr>
              <w:numPr>
                <w:ilvl w:val="0"/>
                <w:numId w:val="2"/>
              </w:numPr>
              <w:spacing w:line="360" w:lineRule="auto"/>
              <w:jc w:val="left"/>
              <w:rPr>
                <w:rFonts w:ascii="宋体"/>
                <w:sz w:val="20"/>
                <w:szCs w:val="20"/>
              </w:rPr>
            </w:pPr>
            <w:r>
              <w:rPr>
                <w:rFonts w:hint="eastAsia" w:ascii="宋体" w:hAnsi="宋体"/>
                <w:sz w:val="20"/>
                <w:szCs w:val="20"/>
              </w:rPr>
              <w:t>这些需求和期望中哪些将成为其合规义务。</w:t>
            </w:r>
          </w:p>
          <w:p>
            <w:pPr>
              <w:spacing w:line="360" w:lineRule="auto"/>
              <w:ind w:left="480"/>
              <w:jc w:val="left"/>
              <w:rPr>
                <w:rFonts w:ascii="宋体"/>
                <w:sz w:val="20"/>
                <w:szCs w:val="20"/>
              </w:rPr>
            </w:pPr>
            <w:r>
              <w:rPr>
                <w:rFonts w:hint="eastAsia" w:ascii="宋体" w:hAnsi="宋体"/>
                <w:sz w:val="20"/>
                <w:szCs w:val="20"/>
              </w:rPr>
              <w:t>公司编制《组织环境与相关方管理程序》，并对这些相关方及其要求的相关信息进行监视和评审。</w:t>
            </w:r>
          </w:p>
          <w:p>
            <w:pPr>
              <w:spacing w:line="240" w:lineRule="exac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201" w:right="113" w:hanging="201" w:hangingChars="100"/>
              <w:jc w:val="center"/>
              <w:rPr>
                <w:rFonts w:ascii="宋体" w:hAnsi="宋体"/>
                <w:b/>
                <w:color w:val="000000" w:themeColor="text1"/>
                <w:sz w:val="20"/>
                <w:szCs w:val="20"/>
              </w:rPr>
            </w:pPr>
          </w:p>
        </w:tc>
        <w:tc>
          <w:tcPr>
            <w:tcW w:w="9198" w:type="dxa"/>
          </w:tcPr>
          <w:p>
            <w:pPr>
              <w:spacing w:line="280" w:lineRule="exact"/>
              <w:rPr>
                <w:rFonts w:ascii="宋体" w:hAnsi="宋体"/>
                <w:b/>
                <w:color w:val="000000" w:themeColor="text1"/>
                <w:sz w:val="20"/>
                <w:szCs w:val="20"/>
              </w:rPr>
            </w:pPr>
            <w:r>
              <w:rPr>
                <w:b/>
                <w:color w:val="000000" w:themeColor="text1"/>
                <w:sz w:val="20"/>
                <w:szCs w:val="20"/>
              </w:rPr>
              <w:t>3.</w:t>
            </w:r>
            <w:r>
              <w:rPr>
                <w:rFonts w:hint="eastAsia"/>
                <w:b/>
                <w:color w:val="000000" w:themeColor="text1"/>
                <w:spacing w:val="-10"/>
                <w:sz w:val="20"/>
                <w:szCs w:val="20"/>
              </w:rPr>
              <w:t>□</w:t>
            </w:r>
            <w:r>
              <w:rPr>
                <w:rFonts w:hint="eastAsia" w:ascii="宋体" w:hAnsi="宋体"/>
                <w:b/>
                <w:color w:val="000000" w:themeColor="text1"/>
                <w:sz w:val="20"/>
                <w:szCs w:val="20"/>
              </w:rPr>
              <w:t>质量/</w:t>
            </w:r>
            <w:r>
              <w:rPr>
                <w:rFonts w:hint="eastAsia"/>
                <w:b/>
                <w:color w:val="000000" w:themeColor="text1"/>
                <w:spacing w:val="-10"/>
                <w:sz w:val="20"/>
                <w:szCs w:val="20"/>
              </w:rPr>
              <w:t>□</w:t>
            </w:r>
            <w:r>
              <w:rPr>
                <w:rFonts w:hint="eastAsia" w:ascii="宋体" w:hAnsi="宋体"/>
                <w:b/>
                <w:color w:val="000000" w:themeColor="text1"/>
                <w:sz w:val="20"/>
                <w:szCs w:val="20"/>
              </w:rPr>
              <w:t>环境/</w:t>
            </w:r>
            <w:r>
              <w:rPr>
                <w:rFonts w:hint="eastAsia"/>
                <w:b/>
                <w:color w:val="000000" w:themeColor="text1"/>
                <w:spacing w:val="-10"/>
                <w:sz w:val="20"/>
                <w:szCs w:val="20"/>
              </w:rPr>
              <w:t>□</w:t>
            </w:r>
            <w:r>
              <w:rPr>
                <w:rFonts w:hint="eastAsia" w:ascii="宋体" w:hAnsi="宋体"/>
                <w:b/>
                <w:color w:val="000000" w:themeColor="text1"/>
                <w:sz w:val="20"/>
                <w:szCs w:val="20"/>
              </w:rPr>
              <w:t>职业健康安全方针（组织</w:t>
            </w:r>
            <w:r>
              <w:rPr>
                <w:rFonts w:hint="eastAsia"/>
                <w:b/>
                <w:color w:val="000000" w:themeColor="text1"/>
                <w:sz w:val="20"/>
                <w:szCs w:val="20"/>
              </w:rPr>
              <w:t>方针</w:t>
            </w:r>
            <w:r>
              <w:rPr>
                <w:rFonts w:hint="eastAsia" w:ascii="宋体" w:hAnsi="宋体"/>
                <w:b/>
                <w:color w:val="000000" w:themeColor="text1"/>
                <w:sz w:val="20"/>
                <w:szCs w:val="20"/>
              </w:rPr>
              <w:t>的适宜性/持续适宜性、方针的传达及职工的理解等）</w:t>
            </w:r>
          </w:p>
          <w:p>
            <w:pPr>
              <w:spacing w:line="240" w:lineRule="exact"/>
              <w:ind w:left="199" w:leftChars="95"/>
              <w:rPr>
                <w:rFonts w:ascii="宋体" w:hAnsi="宋体"/>
                <w:sz w:val="20"/>
                <w:szCs w:val="20"/>
              </w:rPr>
            </w:pPr>
          </w:p>
          <w:p>
            <w:pPr>
              <w:spacing w:line="400" w:lineRule="exact"/>
              <w:ind w:firstLine="500" w:firstLineChars="200"/>
              <w:rPr>
                <w:rFonts w:hint="eastAsia" w:ascii="宋体" w:hAnsi="宋体"/>
                <w:spacing w:val="20"/>
                <w:sz w:val="21"/>
                <w:szCs w:val="21"/>
              </w:rPr>
            </w:pPr>
            <w:r>
              <w:rPr>
                <w:rFonts w:hint="eastAsia" w:ascii="宋体" w:hAnsi="宋体"/>
                <w:spacing w:val="20"/>
                <w:sz w:val="21"/>
                <w:szCs w:val="21"/>
              </w:rPr>
              <w:t xml:space="preserve">质量为先、创新为重、诚实守信、顾客至上； </w:t>
            </w:r>
          </w:p>
          <w:p>
            <w:pPr>
              <w:spacing w:line="400" w:lineRule="exact"/>
              <w:ind w:firstLine="500" w:firstLineChars="200"/>
              <w:rPr>
                <w:rFonts w:hint="eastAsia" w:ascii="宋体" w:hAnsi="宋体"/>
                <w:spacing w:val="20"/>
                <w:sz w:val="24"/>
              </w:rPr>
            </w:pPr>
            <w:r>
              <w:rPr>
                <w:rFonts w:hint="eastAsia" w:ascii="宋体" w:hAnsi="宋体"/>
                <w:spacing w:val="20"/>
                <w:sz w:val="21"/>
                <w:szCs w:val="21"/>
              </w:rPr>
              <w:t>遵纪守法，预防危害，防治污染，持续发展。</w:t>
            </w:r>
          </w:p>
          <w:p>
            <w:pPr>
              <w:spacing w:line="240" w:lineRule="exact"/>
              <w:ind w:left="199" w:leftChars="95"/>
              <w:rPr>
                <w:b/>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6" w:hRule="atLeast"/>
          <w:jc w:val="center"/>
        </w:trPr>
        <w:tc>
          <w:tcPr>
            <w:tcW w:w="720" w:type="dxa"/>
            <w:vMerge w:val="continue"/>
            <w:textDirection w:val="tbRlV"/>
            <w:vAlign w:val="center"/>
          </w:tcPr>
          <w:p>
            <w:pPr>
              <w:spacing w:line="240" w:lineRule="exact"/>
              <w:ind w:left="201" w:right="113" w:hanging="201" w:hangingChars="100"/>
              <w:jc w:val="center"/>
              <w:rPr>
                <w:rFonts w:ascii="宋体" w:hAnsi="宋体"/>
                <w:b/>
                <w:color w:val="000000" w:themeColor="text1"/>
                <w:sz w:val="20"/>
                <w:szCs w:val="20"/>
              </w:rPr>
            </w:pPr>
          </w:p>
        </w:tc>
        <w:tc>
          <w:tcPr>
            <w:tcW w:w="9198" w:type="dxa"/>
          </w:tcPr>
          <w:p>
            <w:pPr>
              <w:spacing w:line="240" w:lineRule="exact"/>
              <w:rPr>
                <w:b/>
                <w:color w:val="000000" w:themeColor="text1"/>
              </w:rPr>
            </w:pPr>
            <w:r>
              <w:rPr>
                <w:b/>
                <w:color w:val="000000" w:themeColor="text1"/>
              </w:rPr>
              <w:t>4、</w:t>
            </w:r>
            <w:r>
              <w:rPr>
                <w:rFonts w:hint="eastAsia"/>
                <w:b/>
                <w:color w:val="000000" w:themeColor="text1"/>
              </w:rPr>
              <w:t>风险识别与控制策划（QMS）</w:t>
            </w:r>
          </w:p>
          <w:p>
            <w:pPr>
              <w:spacing w:line="240" w:lineRule="exact"/>
              <w:rPr>
                <w:b/>
                <w:color w:val="000000" w:themeColor="text1"/>
              </w:rPr>
            </w:pPr>
          </w:p>
          <w:p>
            <w:pPr>
              <w:spacing w:line="360" w:lineRule="auto"/>
              <w:ind w:firstLine="400" w:firstLineChars="200"/>
              <w:rPr>
                <w:rFonts w:ascii="宋体"/>
                <w:sz w:val="20"/>
                <w:szCs w:val="20"/>
              </w:rPr>
            </w:pPr>
            <w:r>
              <w:rPr>
                <w:rFonts w:hint="eastAsia" w:ascii="宋体" w:hAnsi="宋体"/>
                <w:sz w:val="20"/>
                <w:szCs w:val="20"/>
              </w:rPr>
              <w:t>公司在策划三标一体化管理体系时，考虑“</w:t>
            </w:r>
            <w:r>
              <w:rPr>
                <w:rFonts w:ascii="宋体" w:hAnsi="宋体"/>
                <w:sz w:val="20"/>
                <w:szCs w:val="20"/>
              </w:rPr>
              <w:t>4.1</w:t>
            </w:r>
            <w:r>
              <w:rPr>
                <w:rFonts w:hint="eastAsia" w:ascii="宋体" w:hAnsi="宋体"/>
                <w:sz w:val="20"/>
                <w:szCs w:val="20"/>
              </w:rPr>
              <w:t>理解组织及其背景环境”、“</w:t>
            </w:r>
            <w:r>
              <w:rPr>
                <w:rFonts w:ascii="宋体" w:hAnsi="宋体"/>
                <w:sz w:val="20"/>
                <w:szCs w:val="20"/>
              </w:rPr>
              <w:t>4.2</w:t>
            </w:r>
            <w:r>
              <w:rPr>
                <w:rFonts w:hint="eastAsia" w:ascii="宋体" w:hAnsi="宋体"/>
                <w:sz w:val="20"/>
                <w:szCs w:val="20"/>
              </w:rPr>
              <w:t>理解相关方的需求和期望”所提及的要求及三标一体化管理体系的范围，确定需要应对的风险和机遇，以便：</w:t>
            </w:r>
          </w:p>
          <w:p>
            <w:pPr>
              <w:numPr>
                <w:ilvl w:val="0"/>
                <w:numId w:val="3"/>
              </w:numPr>
              <w:spacing w:line="360" w:lineRule="auto"/>
              <w:rPr>
                <w:rFonts w:ascii="宋体"/>
                <w:sz w:val="20"/>
                <w:szCs w:val="20"/>
              </w:rPr>
            </w:pPr>
            <w:r>
              <w:rPr>
                <w:rFonts w:hint="eastAsia" w:ascii="宋体" w:hAnsi="宋体"/>
                <w:sz w:val="20"/>
                <w:szCs w:val="20"/>
              </w:rPr>
              <w:t>确保三标一体化管理体系能够实现其预期结果；</w:t>
            </w:r>
          </w:p>
          <w:p>
            <w:pPr>
              <w:numPr>
                <w:ilvl w:val="0"/>
                <w:numId w:val="3"/>
              </w:numPr>
              <w:spacing w:line="360" w:lineRule="auto"/>
              <w:rPr>
                <w:rFonts w:ascii="宋体"/>
                <w:sz w:val="20"/>
                <w:szCs w:val="20"/>
              </w:rPr>
            </w:pPr>
            <w:r>
              <w:rPr>
                <w:rFonts w:hint="eastAsia" w:ascii="宋体" w:hAnsi="宋体"/>
                <w:sz w:val="20"/>
                <w:szCs w:val="20"/>
              </w:rPr>
              <w:t>增强有利影响；</w:t>
            </w:r>
          </w:p>
          <w:p>
            <w:pPr>
              <w:numPr>
                <w:ilvl w:val="0"/>
                <w:numId w:val="3"/>
              </w:numPr>
              <w:spacing w:line="360" w:lineRule="auto"/>
              <w:rPr>
                <w:rFonts w:ascii="宋体"/>
                <w:sz w:val="20"/>
                <w:szCs w:val="20"/>
              </w:rPr>
            </w:pPr>
            <w:r>
              <w:rPr>
                <w:rFonts w:hint="eastAsia" w:ascii="宋体" w:hAnsi="宋体"/>
                <w:sz w:val="20"/>
                <w:szCs w:val="20"/>
              </w:rPr>
              <w:t>避免或减少不利影响，包括外部环境状况对公司的潜在影响；</w:t>
            </w:r>
          </w:p>
          <w:p>
            <w:pPr>
              <w:numPr>
                <w:ilvl w:val="0"/>
                <w:numId w:val="3"/>
              </w:numPr>
              <w:spacing w:line="360" w:lineRule="auto"/>
              <w:rPr>
                <w:rFonts w:ascii="宋体"/>
                <w:sz w:val="20"/>
                <w:szCs w:val="20"/>
              </w:rPr>
            </w:pPr>
            <w:r>
              <w:rPr>
                <w:rFonts w:hint="eastAsia" w:ascii="宋体" w:hAnsi="宋体"/>
                <w:sz w:val="20"/>
                <w:szCs w:val="20"/>
              </w:rPr>
              <w:t>实现持续改进；</w:t>
            </w:r>
          </w:p>
          <w:p>
            <w:pPr>
              <w:numPr>
                <w:ilvl w:val="0"/>
                <w:numId w:val="3"/>
              </w:numPr>
              <w:spacing w:line="360" w:lineRule="auto"/>
              <w:rPr>
                <w:rFonts w:ascii="宋体"/>
                <w:sz w:val="20"/>
                <w:szCs w:val="20"/>
              </w:rPr>
            </w:pPr>
            <w:r>
              <w:rPr>
                <w:rFonts w:hint="eastAsia" w:ascii="宋体" w:hAnsi="宋体"/>
                <w:sz w:val="20"/>
                <w:szCs w:val="20"/>
              </w:rPr>
              <w:t>确定公司三标一体化管理体系范围内的潜在的紧急情况，特别是那些可能具有环境影响的潜在紧急情况。</w:t>
            </w:r>
          </w:p>
          <w:p>
            <w:pPr>
              <w:spacing w:line="360" w:lineRule="auto"/>
              <w:ind w:firstLine="400" w:firstLineChars="200"/>
              <w:rPr>
                <w:rFonts w:ascii="宋体"/>
                <w:sz w:val="20"/>
                <w:szCs w:val="20"/>
              </w:rPr>
            </w:pPr>
            <w:r>
              <w:rPr>
                <w:rFonts w:hint="eastAsia" w:ascii="宋体" w:hAnsi="宋体"/>
                <w:sz w:val="20"/>
                <w:szCs w:val="20"/>
              </w:rPr>
              <w:t>公司策划：</w:t>
            </w:r>
          </w:p>
          <w:p>
            <w:pPr>
              <w:numPr>
                <w:ilvl w:val="0"/>
                <w:numId w:val="4"/>
              </w:numPr>
              <w:spacing w:line="360" w:lineRule="auto"/>
              <w:rPr>
                <w:rFonts w:ascii="宋体"/>
                <w:sz w:val="20"/>
                <w:szCs w:val="20"/>
              </w:rPr>
            </w:pPr>
            <w:r>
              <w:rPr>
                <w:rFonts w:hint="eastAsia" w:ascii="宋体" w:hAnsi="宋体"/>
                <w:sz w:val="20"/>
                <w:szCs w:val="20"/>
              </w:rPr>
              <w:t>应对这些风险和机遇的措施，应对风险和机遇的措施应与其对于产品和服务符合性的潜在影响相适应；</w:t>
            </w:r>
          </w:p>
          <w:p>
            <w:pPr>
              <w:numPr>
                <w:ilvl w:val="0"/>
                <w:numId w:val="4"/>
              </w:numPr>
              <w:spacing w:line="360" w:lineRule="auto"/>
              <w:rPr>
                <w:rFonts w:ascii="宋体"/>
                <w:sz w:val="20"/>
                <w:szCs w:val="20"/>
              </w:rPr>
            </w:pPr>
            <w:r>
              <w:rPr>
                <w:rFonts w:hint="eastAsia" w:ascii="宋体" w:hAnsi="宋体"/>
                <w:sz w:val="20"/>
                <w:szCs w:val="20"/>
              </w:rPr>
              <w:t>如何在质量、环境和职业健康安全管理体系过程中整合并实施这些措施；</w:t>
            </w:r>
          </w:p>
          <w:p>
            <w:pPr>
              <w:numPr>
                <w:ilvl w:val="0"/>
                <w:numId w:val="4"/>
              </w:numPr>
              <w:spacing w:line="360" w:lineRule="auto"/>
              <w:rPr>
                <w:rFonts w:ascii="宋体"/>
                <w:sz w:val="20"/>
                <w:szCs w:val="20"/>
              </w:rPr>
            </w:pPr>
            <w:r>
              <w:rPr>
                <w:rFonts w:hint="eastAsia" w:ascii="宋体" w:hAnsi="宋体"/>
                <w:sz w:val="20"/>
                <w:szCs w:val="20"/>
              </w:rPr>
              <w:t>如何评价这些措施的有效性。</w:t>
            </w:r>
          </w:p>
          <w:p>
            <w:pPr>
              <w:spacing w:line="360" w:lineRule="auto"/>
              <w:ind w:firstLine="400" w:firstLineChars="200"/>
              <w:rPr>
                <w:rFonts w:ascii="宋体"/>
                <w:sz w:val="20"/>
                <w:szCs w:val="20"/>
              </w:rPr>
            </w:pPr>
            <w:r>
              <w:rPr>
                <w:rFonts w:hint="eastAsia" w:ascii="宋体" w:hAnsi="宋体"/>
                <w:sz w:val="20"/>
                <w:szCs w:val="20"/>
              </w:rPr>
              <w:t>编制《风险和机遇的应对控制程序》，由行政部负责日常管理，确保文件化信息程度足以确信这些过程按策划实施。</w:t>
            </w:r>
          </w:p>
          <w:p>
            <w:pPr>
              <w:spacing w:line="240" w:lineRule="exact"/>
              <w:rPr>
                <w:b/>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0"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rFonts w:ascii="宋体" w:hAnsi="宋体"/>
                <w:b/>
                <w:color w:val="000000" w:themeColor="text1"/>
                <w:sz w:val="20"/>
                <w:szCs w:val="20"/>
              </w:rPr>
            </w:pPr>
            <w:r>
              <w:rPr>
                <w:rFonts w:hint="eastAsia"/>
                <w:b/>
                <w:color w:val="000000" w:themeColor="text1"/>
                <w:sz w:val="20"/>
                <w:szCs w:val="20"/>
              </w:rPr>
              <w:t>5.</w:t>
            </w:r>
            <w:r>
              <w:rPr>
                <w:b/>
                <w:color w:val="000000" w:themeColor="text1"/>
                <w:sz w:val="20"/>
                <w:szCs w:val="20"/>
              </w:rPr>
              <w:t>QMS</w:t>
            </w:r>
            <w:r>
              <w:rPr>
                <w:rFonts w:hint="eastAsia" w:ascii="宋体" w:hAnsi="宋体"/>
                <w:b/>
                <w:color w:val="000000" w:themeColor="text1"/>
                <w:sz w:val="20"/>
                <w:szCs w:val="20"/>
              </w:rPr>
              <w:t>过程</w:t>
            </w:r>
          </w:p>
          <w:p>
            <w:pPr>
              <w:tabs>
                <w:tab w:val="left" w:pos="540"/>
              </w:tabs>
              <w:spacing w:line="300" w:lineRule="exact"/>
              <w:ind w:left="201" w:hanging="201" w:hangingChars="100"/>
              <w:rPr>
                <w:rFonts w:ascii="宋体" w:hAnsi="宋体"/>
                <w:b/>
                <w:color w:val="000000" w:themeColor="text1"/>
                <w:sz w:val="20"/>
                <w:szCs w:val="20"/>
                <w:u w:val="single"/>
              </w:rPr>
            </w:pPr>
            <w:r>
              <w:rPr>
                <w:rFonts w:hint="eastAsia" w:ascii="宋体" w:hAnsi="宋体"/>
                <w:b/>
                <w:color w:val="000000" w:themeColor="text1"/>
                <w:sz w:val="20"/>
                <w:szCs w:val="20"/>
              </w:rPr>
              <w:t>质量管理体系过程有：切割下料→冲压 → 折弯→焊接→打磨表面处理→喷涂烘干→组装→包装→成品入库</w:t>
            </w:r>
          </w:p>
          <w:p>
            <w:pPr>
              <w:tabs>
                <w:tab w:val="left" w:pos="540"/>
              </w:tabs>
              <w:spacing w:line="300" w:lineRule="exact"/>
              <w:ind w:left="201" w:hanging="201" w:hangingChars="100"/>
              <w:rPr>
                <w:rFonts w:ascii="宋体" w:hAnsi="宋体"/>
                <w:b/>
                <w:color w:val="000000" w:themeColor="text1"/>
                <w:sz w:val="20"/>
                <w:szCs w:val="20"/>
                <w:u w:val="single"/>
              </w:rPr>
            </w:pPr>
            <w:r>
              <w:rPr>
                <w:rFonts w:hint="eastAsia" w:ascii="宋体" w:hAnsi="宋体"/>
                <w:b/>
                <w:color w:val="000000" w:themeColor="text1"/>
                <w:sz w:val="20"/>
                <w:szCs w:val="20"/>
              </w:rPr>
              <w:t xml:space="preserve">其中关键过程有 </w:t>
            </w:r>
            <w:r>
              <w:rPr>
                <w:rFonts w:hint="eastAsia" w:ascii="宋体" w:hAnsi="宋体"/>
                <w:b/>
                <w:color w:val="000000" w:themeColor="text1"/>
                <w:sz w:val="20"/>
                <w:szCs w:val="20"/>
                <w:u w:val="single"/>
              </w:rPr>
              <w:t xml:space="preserve">    焊接、喷涂</w:t>
            </w:r>
            <w:r>
              <w:rPr>
                <w:rFonts w:hint="eastAsia" w:ascii="宋体" w:hAnsi="宋体"/>
                <w:b/>
                <w:color w:val="000000" w:themeColor="text1"/>
                <w:sz w:val="20"/>
                <w:szCs w:val="20"/>
                <w:u w:val="single"/>
                <w:lang w:eastAsia="zh-CN"/>
              </w:rPr>
              <w:t>、</w:t>
            </w:r>
            <w:r>
              <w:rPr>
                <w:rFonts w:hint="eastAsia" w:ascii="宋体" w:hAnsi="宋体"/>
                <w:b/>
                <w:color w:val="000000" w:themeColor="text1"/>
                <w:sz w:val="20"/>
                <w:szCs w:val="20"/>
                <w:u w:val="single"/>
                <w:lang w:val="en-US" w:eastAsia="zh-CN"/>
              </w:rPr>
              <w:t>销售过程</w:t>
            </w:r>
            <w:r>
              <w:rPr>
                <w:rFonts w:hint="eastAsia" w:ascii="宋体" w:hAnsi="宋体"/>
                <w:b/>
                <w:color w:val="000000" w:themeColor="text1"/>
                <w:sz w:val="20"/>
                <w:szCs w:val="20"/>
                <w:u w:val="single"/>
              </w:rPr>
              <w:t xml:space="preserve">                         ，</w:t>
            </w:r>
          </w:p>
          <w:p>
            <w:pPr>
              <w:tabs>
                <w:tab w:val="left" w:pos="540"/>
              </w:tabs>
              <w:spacing w:line="300" w:lineRule="exact"/>
              <w:ind w:left="201" w:hanging="201" w:hangingChars="100"/>
              <w:rPr>
                <w:rFonts w:hint="default" w:ascii="宋体" w:hAnsi="宋体" w:eastAsia="宋体"/>
                <w:b/>
                <w:color w:val="000000" w:themeColor="text1"/>
                <w:sz w:val="20"/>
                <w:szCs w:val="20"/>
                <w:u w:val="single"/>
                <w:lang w:val="en-US" w:eastAsia="zh-CN"/>
              </w:rPr>
            </w:pPr>
            <w:r>
              <w:rPr>
                <w:rFonts w:hint="eastAsia" w:ascii="宋体" w:hAnsi="宋体"/>
                <w:b/>
                <w:color w:val="000000" w:themeColor="text1"/>
                <w:sz w:val="20"/>
                <w:szCs w:val="20"/>
              </w:rPr>
              <w:t>需要确认过程  焊接、喷涂</w:t>
            </w:r>
            <w:r>
              <w:rPr>
                <w:rFonts w:hint="eastAsia" w:ascii="宋体" w:hAnsi="宋体"/>
                <w:b/>
                <w:color w:val="000000" w:themeColor="text1"/>
                <w:sz w:val="20"/>
                <w:szCs w:val="20"/>
                <w:lang w:eastAsia="zh-CN"/>
              </w:rPr>
              <w:t>、</w:t>
            </w:r>
            <w:r>
              <w:rPr>
                <w:rFonts w:hint="eastAsia" w:ascii="宋体" w:hAnsi="宋体"/>
                <w:b/>
                <w:color w:val="000000" w:themeColor="text1"/>
                <w:sz w:val="20"/>
                <w:szCs w:val="20"/>
                <w:lang w:val="en-US" w:eastAsia="zh-CN"/>
              </w:rPr>
              <w:t>销售过程</w:t>
            </w:r>
          </w:p>
          <w:p>
            <w:pPr>
              <w:tabs>
                <w:tab w:val="left" w:pos="540"/>
              </w:tabs>
              <w:spacing w:line="300" w:lineRule="exact"/>
              <w:ind w:left="201" w:hanging="201" w:hangingChars="100"/>
              <w:rPr>
                <w:rFonts w:ascii="宋体" w:hAnsi="宋体"/>
                <w:b/>
                <w:color w:val="000000" w:themeColor="text1"/>
                <w:sz w:val="20"/>
                <w:szCs w:val="20"/>
              </w:rPr>
            </w:pPr>
            <w:r>
              <w:rPr>
                <w:b/>
                <w:color w:val="000000" w:themeColor="text1"/>
                <w:sz w:val="20"/>
                <w:szCs w:val="20"/>
              </w:rPr>
              <w:pict>
                <v:shape id="_x0000_s2050" o:spid="_x0000_s2050" o:spt="32" type="#_x0000_t32" style="position:absolute;left:0pt;margin-left:157.9pt;margin-top:12.75pt;height:0pt;width:261.75pt;z-index:251660288;mso-width-relative:page;mso-height-relative:page;" o:connectortype="straight" filled="f" coordsize="21600,21600">
                  <v:path arrowok="t"/>
                  <v:fill on="f" focussize="0,0"/>
                  <v:stroke/>
                  <v:imagedata o:title=""/>
                  <o:lock v:ext="edit"/>
                </v:shape>
              </w:pict>
            </w:r>
            <w:r>
              <w:rPr>
                <w:rFonts w:ascii="宋体" w:hAnsi="宋体"/>
                <w:b/>
                <w:color w:val="000000" w:themeColor="text1"/>
                <w:sz w:val="20"/>
                <w:szCs w:val="20"/>
              </w:rPr>
              <w:pict>
                <v:shape id="_x0000_s2051" o:spid="_x0000_s2051" o:spt="32" type="#_x0000_t32" style="position:absolute;left:0pt;margin-left:55.15pt;margin-top:12.75pt;height:0pt;width:42pt;z-index:251659264;mso-width-relative:page;mso-height-relative:page;" o:connectortype="straight" filled="f" coordsize="21600,21600">
                  <v:path arrowok="t"/>
                  <v:fill on="f" focussize="0,0"/>
                  <v:stroke/>
                  <v:imagedata o:title=""/>
                  <o:lock v:ext="edit"/>
                </v:shape>
              </w:pict>
            </w:r>
            <w:r>
              <w:rPr>
                <w:rFonts w:hint="eastAsia" w:ascii="宋体" w:hAnsi="宋体"/>
                <w:b/>
                <w:color w:val="000000" w:themeColor="text1"/>
                <w:sz w:val="20"/>
                <w:szCs w:val="20"/>
              </w:rPr>
              <w:t xml:space="preserve">不适用条款是  </w:t>
            </w:r>
            <w:r>
              <w:rPr>
                <w:rFonts w:hint="eastAsia" w:ascii="宋体" w:hAnsi="宋体"/>
                <w:b/>
                <w:color w:val="000000" w:themeColor="text1"/>
                <w:sz w:val="20"/>
                <w:szCs w:val="20"/>
                <w:lang w:val="en-US" w:eastAsia="zh-CN"/>
              </w:rPr>
              <w:t>无</w:t>
            </w:r>
            <w:r>
              <w:rPr>
                <w:rFonts w:hint="eastAsia" w:ascii="宋体" w:hAnsi="宋体"/>
                <w:b/>
                <w:color w:val="000000" w:themeColor="text1"/>
                <w:sz w:val="20"/>
                <w:szCs w:val="20"/>
              </w:rPr>
              <w:t xml:space="preserve">      ，不适用理由：</w:t>
            </w:r>
            <w:r>
              <w:rPr>
                <w:rFonts w:hint="eastAsia" w:ascii="宋体" w:hAnsi="宋体"/>
                <w:b/>
                <w:color w:val="000000"/>
                <w:sz w:val="20"/>
                <w:szCs w:val="20"/>
              </w:rPr>
              <w:t>无</w:t>
            </w:r>
            <w:r>
              <w:rPr>
                <w:rFonts w:hint="eastAsia" w:ascii="宋体" w:hAnsi="宋体"/>
                <w:b/>
                <w:color w:val="000000" w:themeColor="text1"/>
                <w:sz w:val="20"/>
                <w:szCs w:val="20"/>
              </w:rPr>
              <w:t xml:space="preserve">                                                   </w:t>
            </w:r>
          </w:p>
          <w:p>
            <w:pPr>
              <w:tabs>
                <w:tab w:val="left" w:pos="540"/>
              </w:tabs>
              <w:spacing w:line="300" w:lineRule="exact"/>
              <w:ind w:left="201" w:hanging="201" w:hangingChars="100"/>
              <w:rPr>
                <w:rFonts w:ascii="宋体" w:hAnsi="宋体"/>
                <w:b/>
                <w:color w:val="000000" w:themeColor="text1"/>
                <w:sz w:val="20"/>
                <w:szCs w:val="20"/>
              </w:rPr>
            </w:pPr>
          </w:p>
          <w:p>
            <w:pPr>
              <w:tabs>
                <w:tab w:val="left" w:pos="540"/>
              </w:tabs>
              <w:spacing w:line="300" w:lineRule="exact"/>
              <w:ind w:left="211" w:hanging="211" w:hangingChars="100"/>
              <w:rPr>
                <w:rFonts w:ascii="宋体" w:hAnsi="宋体"/>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4"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rFonts w:ascii="宋体" w:hAnsi="宋体"/>
                <w:b/>
                <w:color w:val="000000" w:themeColor="text1"/>
                <w:spacing w:val="-12"/>
                <w:sz w:val="20"/>
                <w:szCs w:val="20"/>
              </w:rPr>
            </w:pPr>
            <w:r>
              <w:rPr>
                <w:rFonts w:hint="eastAsia"/>
                <w:b/>
                <w:color w:val="000000" w:themeColor="text1"/>
                <w:sz w:val="20"/>
                <w:szCs w:val="20"/>
              </w:rPr>
              <w:t xml:space="preserve">6. </w:t>
            </w:r>
            <w:r>
              <w:rPr>
                <w:b/>
                <w:color w:val="000000" w:themeColor="text1"/>
                <w:spacing w:val="-12"/>
                <w:sz w:val="20"/>
                <w:szCs w:val="20"/>
              </w:rPr>
              <w:t>EMS</w:t>
            </w:r>
            <w:r>
              <w:rPr>
                <w:rFonts w:hint="eastAsia" w:ascii="宋体" w:hAnsi="宋体"/>
                <w:b/>
                <w:color w:val="000000" w:themeColor="text1"/>
                <w:spacing w:val="-12"/>
                <w:sz w:val="20"/>
                <w:szCs w:val="20"/>
              </w:rPr>
              <w:t>环境因素/</w:t>
            </w:r>
          </w:p>
          <w:p>
            <w:pPr>
              <w:spacing w:line="300" w:lineRule="exact"/>
              <w:rPr>
                <w:rFonts w:ascii="宋体" w:hAnsi="宋体"/>
                <w:b/>
                <w:color w:val="000000" w:themeColor="text1"/>
                <w:spacing w:val="-8"/>
                <w:sz w:val="20"/>
                <w:szCs w:val="20"/>
              </w:rPr>
            </w:pPr>
            <w:r>
              <w:rPr>
                <w:rFonts w:hint="eastAsia" w:ascii="宋体" w:hAnsi="宋体"/>
                <w:b/>
                <w:color w:val="000000" w:themeColor="text1"/>
                <w:sz w:val="20"/>
                <w:szCs w:val="20"/>
              </w:rPr>
              <w:t>（</w:t>
            </w:r>
            <w:r>
              <w:rPr>
                <w:rFonts w:hint="eastAsia" w:ascii="宋体" w:hAnsi="宋体"/>
                <w:b/>
                <w:color w:val="000000" w:themeColor="text1"/>
                <w:spacing w:val="-8"/>
                <w:sz w:val="20"/>
                <w:szCs w:val="20"/>
              </w:rPr>
              <w:t>环境因素</w:t>
            </w:r>
            <w:r>
              <w:rPr>
                <w:rFonts w:hint="eastAsia" w:ascii="宋体" w:hAnsi="宋体"/>
                <w:b/>
                <w:color w:val="000000" w:themeColor="text1"/>
                <w:sz w:val="20"/>
                <w:szCs w:val="20"/>
              </w:rPr>
              <w:t>辨识是否充分、重要环境因素评价合理性，</w:t>
            </w:r>
            <w:r>
              <w:rPr>
                <w:rFonts w:hint="eastAsia" w:ascii="宋体" w:hAnsi="宋体"/>
                <w:b/>
                <w:color w:val="000000" w:themeColor="text1"/>
                <w:spacing w:val="-8"/>
                <w:sz w:val="20"/>
                <w:szCs w:val="20"/>
              </w:rPr>
              <w:t>以及环境因素动态变更的及时性等）</w:t>
            </w:r>
          </w:p>
          <w:p>
            <w:pPr>
              <w:spacing w:line="300" w:lineRule="exact"/>
              <w:rPr>
                <w:b/>
                <w:color w:val="000000" w:themeColor="text1"/>
                <w:sz w:val="20"/>
                <w:szCs w:val="20"/>
              </w:rPr>
            </w:pPr>
            <w:r>
              <w:rPr>
                <w:rFonts w:hint="eastAsia"/>
                <w:b/>
                <w:color w:val="000000"/>
                <w:sz w:val="20"/>
                <w:szCs w:val="20"/>
              </w:rPr>
              <w:t>环境因素辨识充分，重要环境因素：</w:t>
            </w:r>
            <w:r>
              <w:rPr>
                <w:rFonts w:hint="eastAsia" w:ascii="宋体" w:hAnsi="宋体" w:cs="宋体"/>
                <w:b/>
                <w:bCs/>
                <w:color w:val="000000"/>
                <w:sz w:val="21"/>
                <w:szCs w:val="21"/>
              </w:rPr>
              <w:t>噪声排放</w:t>
            </w:r>
            <w:r>
              <w:rPr>
                <w:rFonts w:hint="eastAsia" w:ascii="宋体" w:hAnsi="宋体" w:cs="宋体"/>
                <w:b/>
                <w:bCs/>
                <w:color w:val="000000"/>
                <w:sz w:val="21"/>
                <w:szCs w:val="21"/>
                <w:lang w:eastAsia="zh-CN"/>
              </w:rPr>
              <w:t>、</w:t>
            </w:r>
            <w:r>
              <w:rPr>
                <w:rFonts w:hint="eastAsia" w:ascii="宋体" w:hAnsi="宋体" w:cs="宋体"/>
                <w:b/>
                <w:bCs/>
                <w:color w:val="000000"/>
                <w:sz w:val="21"/>
                <w:szCs w:val="21"/>
              </w:rPr>
              <w:t>废水排放</w:t>
            </w:r>
            <w:r>
              <w:rPr>
                <w:rFonts w:hint="eastAsia" w:ascii="宋体" w:hAnsi="宋体" w:cs="宋体"/>
                <w:b/>
                <w:bCs/>
                <w:color w:val="000000"/>
                <w:sz w:val="21"/>
                <w:szCs w:val="21"/>
                <w:lang w:eastAsia="zh-CN"/>
              </w:rPr>
              <w:t>、</w:t>
            </w:r>
            <w:r>
              <w:rPr>
                <w:rFonts w:hint="eastAsia" w:ascii="宋体" w:hAnsi="宋体" w:cs="宋体"/>
                <w:b/>
                <w:bCs/>
                <w:color w:val="000000"/>
                <w:sz w:val="21"/>
                <w:szCs w:val="21"/>
              </w:rPr>
              <w:t>粉尘排放、废气排放</w:t>
            </w:r>
            <w:r>
              <w:rPr>
                <w:rFonts w:hint="eastAsia" w:ascii="宋体" w:hAnsi="宋体" w:cs="宋体"/>
                <w:b/>
                <w:bCs/>
                <w:color w:val="000000"/>
                <w:sz w:val="21"/>
                <w:szCs w:val="21"/>
                <w:lang w:eastAsia="zh-CN"/>
              </w:rPr>
              <w:t>、危废</w:t>
            </w:r>
            <w:r>
              <w:rPr>
                <w:rFonts w:hint="eastAsia" w:ascii="宋体" w:hAnsi="宋体" w:cs="宋体"/>
                <w:b/>
                <w:bCs/>
                <w:color w:val="000000"/>
                <w:sz w:val="21"/>
                <w:szCs w:val="21"/>
              </w:rPr>
              <w:t>排放</w:t>
            </w:r>
            <w:r>
              <w:rPr>
                <w:rFonts w:hint="eastAsia" w:ascii="宋体" w:hAnsi="宋体" w:cs="宋体"/>
                <w:b/>
                <w:bCs/>
                <w:color w:val="000000"/>
                <w:sz w:val="24"/>
                <w:szCs w:val="32"/>
                <w:lang w:eastAsia="zh-CN"/>
              </w:rPr>
              <w:t>，</w:t>
            </w:r>
            <w:r>
              <w:rPr>
                <w:rFonts w:hint="eastAsia"/>
                <w:b/>
                <w:color w:val="000000"/>
                <w:sz w:val="20"/>
                <w:szCs w:val="20"/>
              </w:rPr>
              <w:t>评价合理，根据环境因素的动态及时变更和控制。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4"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rFonts w:ascii="宋体" w:hAnsi="宋体"/>
                <w:b/>
                <w:color w:val="000000" w:themeColor="text1"/>
                <w:spacing w:val="-12"/>
                <w:sz w:val="20"/>
                <w:szCs w:val="20"/>
              </w:rPr>
            </w:pPr>
            <w:r>
              <w:rPr>
                <w:rFonts w:hint="eastAsia"/>
                <w:b/>
                <w:color w:val="000000" w:themeColor="text1"/>
                <w:spacing w:val="-10"/>
                <w:sz w:val="20"/>
                <w:szCs w:val="20"/>
              </w:rPr>
              <w:t xml:space="preserve">7. </w:t>
            </w:r>
            <w:r>
              <w:rPr>
                <w:b/>
                <w:color w:val="000000" w:themeColor="text1"/>
                <w:spacing w:val="-12"/>
                <w:sz w:val="20"/>
                <w:szCs w:val="20"/>
              </w:rPr>
              <w:t>OHSMS</w:t>
            </w:r>
            <w:r>
              <w:rPr>
                <w:rFonts w:hint="eastAsia" w:ascii="宋体" w:hAnsi="宋体"/>
                <w:b/>
                <w:color w:val="000000" w:themeColor="text1"/>
                <w:spacing w:val="-12"/>
                <w:sz w:val="20"/>
                <w:szCs w:val="20"/>
              </w:rPr>
              <w:t>职业健康安全危险源</w:t>
            </w:r>
          </w:p>
          <w:p>
            <w:pPr>
              <w:spacing w:line="300" w:lineRule="exact"/>
              <w:rPr>
                <w:rFonts w:ascii="宋体" w:hAnsi="宋体"/>
                <w:b/>
                <w:color w:val="000000" w:themeColor="text1"/>
                <w:spacing w:val="-8"/>
                <w:sz w:val="20"/>
                <w:szCs w:val="20"/>
              </w:rPr>
            </w:pPr>
            <w:r>
              <w:rPr>
                <w:rFonts w:hint="eastAsia" w:ascii="宋体" w:hAnsi="宋体"/>
                <w:b/>
                <w:color w:val="000000" w:themeColor="text1"/>
                <w:sz w:val="20"/>
                <w:szCs w:val="20"/>
              </w:rPr>
              <w:t>（</w:t>
            </w:r>
            <w:r>
              <w:rPr>
                <w:rFonts w:hint="eastAsia" w:ascii="宋体" w:hAnsi="宋体"/>
                <w:b/>
                <w:color w:val="000000" w:themeColor="text1"/>
                <w:spacing w:val="-8"/>
                <w:sz w:val="20"/>
                <w:szCs w:val="20"/>
              </w:rPr>
              <w:t>职业健康安全危险源</w:t>
            </w:r>
            <w:r>
              <w:rPr>
                <w:rFonts w:hint="eastAsia" w:ascii="宋体" w:hAnsi="宋体"/>
                <w:b/>
                <w:color w:val="000000" w:themeColor="text1"/>
                <w:sz w:val="20"/>
                <w:szCs w:val="20"/>
              </w:rPr>
              <w:t>辨识是否充分、风险评价合理性，</w:t>
            </w:r>
            <w:r>
              <w:rPr>
                <w:rFonts w:hint="eastAsia" w:ascii="宋体" w:hAnsi="宋体"/>
                <w:b/>
                <w:color w:val="000000" w:themeColor="text1"/>
                <w:spacing w:val="-8"/>
                <w:sz w:val="20"/>
                <w:szCs w:val="20"/>
              </w:rPr>
              <w:t>以及风险评价动态变更的及时性等）</w:t>
            </w:r>
          </w:p>
          <w:p>
            <w:pPr>
              <w:spacing w:line="300" w:lineRule="exact"/>
              <w:rPr>
                <w:b/>
                <w:color w:val="000000" w:themeColor="text1"/>
                <w:sz w:val="20"/>
                <w:szCs w:val="20"/>
              </w:rPr>
            </w:pPr>
            <w:r>
              <w:rPr>
                <w:rFonts w:hint="eastAsia" w:ascii="宋体" w:hAnsi="宋体"/>
                <w:b/>
                <w:color w:val="000000"/>
                <w:spacing w:val="-8"/>
                <w:sz w:val="20"/>
                <w:szCs w:val="20"/>
              </w:rPr>
              <w:t>职业健康安全危险源</w:t>
            </w:r>
            <w:r>
              <w:rPr>
                <w:rFonts w:hint="eastAsia" w:ascii="宋体" w:hAnsi="宋体"/>
                <w:b/>
                <w:color w:val="000000"/>
                <w:sz w:val="20"/>
                <w:szCs w:val="20"/>
              </w:rPr>
              <w:t>辨识充分，风险评价合理，重大危险源</w:t>
            </w:r>
            <w:r>
              <w:rPr>
                <w:rFonts w:hint="eastAsia" w:ascii="宋体" w:hAnsi="宋体"/>
                <w:b/>
                <w:color w:val="000000"/>
                <w:sz w:val="20"/>
                <w:szCs w:val="20"/>
                <w:lang w:val="en-US" w:eastAsia="zh-CN"/>
              </w:rPr>
              <w:t>四</w:t>
            </w:r>
            <w:r>
              <w:rPr>
                <w:rFonts w:hint="eastAsia" w:ascii="宋体" w:hAnsi="宋体"/>
                <w:b/>
                <w:color w:val="000000"/>
                <w:sz w:val="20"/>
                <w:szCs w:val="20"/>
              </w:rPr>
              <w:t>个：</w:t>
            </w:r>
            <w:r>
              <w:rPr>
                <w:rFonts w:hint="eastAsia" w:ascii="宋体" w:hAnsi="宋体" w:cs="宋体"/>
                <w:b/>
                <w:bCs w:val="0"/>
                <w:color w:val="000000"/>
                <w:kern w:val="0"/>
                <w:sz w:val="21"/>
                <w:szCs w:val="21"/>
              </w:rPr>
              <w:t>潜在</w:t>
            </w:r>
            <w:r>
              <w:rPr>
                <w:rFonts w:hint="eastAsia" w:ascii="宋体" w:hAnsi="宋体" w:cs="宋体"/>
                <w:b/>
                <w:bCs w:val="0"/>
                <w:color w:val="000000"/>
                <w:kern w:val="0"/>
                <w:sz w:val="21"/>
                <w:szCs w:val="21"/>
                <w:lang w:eastAsia="zh-CN"/>
              </w:rPr>
              <w:t>触电、</w:t>
            </w:r>
            <w:r>
              <w:rPr>
                <w:rFonts w:hint="eastAsia" w:ascii="宋体" w:hAnsi="宋体" w:cs="宋体"/>
                <w:b/>
                <w:bCs w:val="0"/>
                <w:color w:val="000000"/>
                <w:kern w:val="0"/>
                <w:sz w:val="21"/>
                <w:szCs w:val="21"/>
              </w:rPr>
              <w:t>火灾</w:t>
            </w:r>
            <w:r>
              <w:rPr>
                <w:rFonts w:hint="eastAsia" w:ascii="宋体" w:hAnsi="宋体" w:cs="宋体"/>
                <w:b/>
                <w:bCs w:val="0"/>
                <w:color w:val="000000"/>
                <w:kern w:val="0"/>
                <w:sz w:val="21"/>
                <w:szCs w:val="21"/>
                <w:lang w:eastAsia="zh-CN"/>
              </w:rPr>
              <w:t>事故、</w:t>
            </w:r>
            <w:r>
              <w:rPr>
                <w:rFonts w:hint="eastAsia" w:ascii="宋体" w:hAnsi="宋体" w:cs="宋体"/>
                <w:b/>
                <w:bCs w:val="0"/>
                <w:color w:val="000000"/>
                <w:kern w:val="0"/>
                <w:sz w:val="21"/>
                <w:szCs w:val="21"/>
              </w:rPr>
              <w:t>机械伤害</w:t>
            </w:r>
            <w:r>
              <w:rPr>
                <w:rFonts w:hint="eastAsia" w:ascii="宋体" w:hAnsi="宋体" w:cs="宋体"/>
                <w:b/>
                <w:bCs w:val="0"/>
                <w:color w:val="000000"/>
                <w:kern w:val="0"/>
                <w:sz w:val="21"/>
                <w:szCs w:val="21"/>
                <w:lang w:eastAsia="zh-CN"/>
              </w:rPr>
              <w:t>、</w:t>
            </w:r>
            <w:r>
              <w:rPr>
                <w:rFonts w:hint="eastAsia" w:ascii="宋体" w:hAnsi="宋体" w:cs="宋体"/>
                <w:b/>
                <w:bCs w:val="0"/>
                <w:color w:val="000000"/>
                <w:kern w:val="0"/>
                <w:sz w:val="21"/>
                <w:szCs w:val="21"/>
              </w:rPr>
              <w:t>职业病</w:t>
            </w:r>
            <w:r>
              <w:rPr>
                <w:rFonts w:hint="eastAsia" w:ascii="宋体" w:hAnsi="宋体"/>
                <w:b/>
                <w:bCs w:val="0"/>
                <w:color w:val="000000"/>
                <w:sz w:val="20"/>
                <w:szCs w:val="20"/>
              </w:rPr>
              <w:t>，</w:t>
            </w:r>
            <w:r>
              <w:rPr>
                <w:rFonts w:hint="eastAsia" w:ascii="宋体" w:hAnsi="宋体"/>
                <w:b/>
                <w:color w:val="000000"/>
                <w:sz w:val="20"/>
                <w:szCs w:val="20"/>
              </w:rPr>
              <w:t>根据动态及时变更和控制。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0"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b/>
                <w:color w:val="000000" w:themeColor="text1"/>
                <w:spacing w:val="-4"/>
                <w:szCs w:val="21"/>
              </w:rPr>
            </w:pPr>
            <w:r>
              <w:rPr>
                <w:rFonts w:hint="eastAsia"/>
                <w:b/>
                <w:color w:val="000000" w:themeColor="text1"/>
                <w:szCs w:val="21"/>
              </w:rPr>
              <w:t xml:space="preserve">4. </w:t>
            </w:r>
            <w:r>
              <w:rPr>
                <w:rFonts w:hint="eastAsia" w:ascii="宋体" w:hAnsi="宋体"/>
                <w:b/>
                <w:color w:val="000000" w:themeColor="text1"/>
                <w:spacing w:val="-4"/>
                <w:szCs w:val="21"/>
              </w:rPr>
              <w:t>法律法规及其他要求</w:t>
            </w:r>
          </w:p>
          <w:p>
            <w:pPr>
              <w:tabs>
                <w:tab w:val="left" w:pos="540"/>
              </w:tabs>
              <w:spacing w:line="300" w:lineRule="exact"/>
              <w:ind w:left="211" w:hanging="211" w:hangingChars="100"/>
              <w:rPr>
                <w:rFonts w:ascii="宋体" w:hAnsi="宋体"/>
                <w:b/>
                <w:color w:val="000000" w:themeColor="text1"/>
                <w:szCs w:val="21"/>
              </w:rPr>
            </w:pPr>
          </w:p>
          <w:p>
            <w:pPr>
              <w:pStyle w:val="10"/>
              <w:numPr>
                <w:ilvl w:val="0"/>
                <w:numId w:val="5"/>
              </w:numPr>
              <w:tabs>
                <w:tab w:val="left" w:pos="540"/>
              </w:tabs>
              <w:spacing w:line="300" w:lineRule="exact"/>
              <w:ind w:firstLineChars="0"/>
              <w:rPr>
                <w:rFonts w:ascii="宋体" w:hAnsi="宋体"/>
                <w:b/>
                <w:color w:val="000000" w:themeColor="text1"/>
                <w:szCs w:val="21"/>
              </w:rPr>
            </w:pPr>
            <w:r>
              <w:rPr>
                <w:rFonts w:hint="eastAsia" w:ascii="宋体" w:hAnsi="宋体"/>
                <w:b/>
                <w:color w:val="000000" w:themeColor="text1"/>
                <w:szCs w:val="21"/>
              </w:rPr>
              <w:t>获取法律法规98项，</w:t>
            </w:r>
            <w:r>
              <w:rPr>
                <w:rFonts w:hint="eastAsia" w:ascii="宋体" w:hAnsi="宋体"/>
                <w:b/>
                <w:color w:val="000000"/>
                <w:szCs w:val="21"/>
              </w:rPr>
              <w:t>■</w:t>
            </w:r>
            <w:r>
              <w:rPr>
                <w:rFonts w:hint="eastAsia" w:ascii="宋体" w:hAnsi="宋体"/>
                <w:b/>
                <w:color w:val="000000" w:themeColor="text1"/>
                <w:szCs w:val="21"/>
              </w:rPr>
              <w:t>法律法规获取充分，□法律法规获取有遗漏，缺少</w:t>
            </w:r>
          </w:p>
          <w:p>
            <w:pPr>
              <w:tabs>
                <w:tab w:val="left" w:pos="540"/>
              </w:tabs>
              <w:spacing w:line="300" w:lineRule="exact"/>
              <w:ind w:left="1" w:leftChars="-43" w:hanging="91" w:hangingChars="43"/>
              <w:rPr>
                <w:rFonts w:ascii="宋体" w:hAnsi="宋体"/>
                <w:b/>
                <w:color w:val="000000" w:themeColor="text1"/>
                <w:szCs w:val="21"/>
                <w:u w:val="single"/>
              </w:rPr>
            </w:pPr>
          </w:p>
          <w:p>
            <w:pPr>
              <w:pStyle w:val="10"/>
              <w:numPr>
                <w:ilvl w:val="0"/>
                <w:numId w:val="5"/>
              </w:numPr>
              <w:tabs>
                <w:tab w:val="left" w:pos="540"/>
              </w:tabs>
              <w:spacing w:line="300" w:lineRule="exact"/>
              <w:ind w:firstLineChars="0"/>
              <w:rPr>
                <w:rFonts w:ascii="宋体" w:hAnsi="宋体"/>
                <w:b/>
                <w:color w:val="000000" w:themeColor="text1"/>
                <w:szCs w:val="21"/>
              </w:rPr>
            </w:pPr>
            <w:r>
              <w:rPr>
                <w:rFonts w:hint="eastAsia" w:ascii="宋体" w:hAnsi="宋体"/>
                <w:b/>
                <w:color w:val="000000" w:themeColor="text1"/>
                <w:szCs w:val="21"/>
              </w:rPr>
              <w:t>结合公司的</w:t>
            </w:r>
            <w:r>
              <w:rPr>
                <w:rFonts w:hint="eastAsia" w:ascii="宋体" w:hAnsi="宋体"/>
                <w:b/>
                <w:color w:val="000000"/>
                <w:szCs w:val="21"/>
              </w:rPr>
              <w:t>■</w:t>
            </w:r>
            <w:r>
              <w:rPr>
                <w:rFonts w:hint="eastAsia" w:ascii="宋体" w:hAnsi="宋体"/>
                <w:b/>
                <w:color w:val="000000" w:themeColor="text1"/>
                <w:szCs w:val="21"/>
              </w:rPr>
              <w:t>产品/服务</w:t>
            </w:r>
            <w:r>
              <w:rPr>
                <w:rFonts w:hint="eastAsia" w:ascii="宋体" w:hAnsi="宋体"/>
                <w:b/>
                <w:color w:val="000000"/>
                <w:szCs w:val="21"/>
              </w:rPr>
              <w:t>■</w:t>
            </w:r>
            <w:r>
              <w:rPr>
                <w:rFonts w:hint="eastAsia" w:ascii="宋体" w:hAnsi="宋体"/>
                <w:b/>
                <w:color w:val="000000" w:themeColor="text1"/>
                <w:szCs w:val="21"/>
              </w:rPr>
              <w:t>环境因素</w:t>
            </w:r>
            <w:r>
              <w:rPr>
                <w:rFonts w:hint="eastAsia" w:ascii="宋体" w:hAnsi="宋体"/>
                <w:b/>
                <w:color w:val="000000"/>
                <w:szCs w:val="21"/>
              </w:rPr>
              <w:t>■</w:t>
            </w:r>
            <w:r>
              <w:rPr>
                <w:rFonts w:hint="eastAsia" w:ascii="宋体" w:hAnsi="宋体"/>
                <w:b/>
                <w:color w:val="000000" w:themeColor="text1"/>
                <w:szCs w:val="21"/>
              </w:rPr>
              <w:t>危险源，</w:t>
            </w:r>
            <w:r>
              <w:rPr>
                <w:rFonts w:hint="eastAsia" w:ascii="宋体" w:hAnsi="宋体"/>
                <w:b/>
                <w:color w:val="000000"/>
                <w:szCs w:val="21"/>
              </w:rPr>
              <w:t>■</w:t>
            </w:r>
            <w:r>
              <w:rPr>
                <w:rFonts w:hint="eastAsia" w:ascii="宋体" w:hAnsi="宋体"/>
                <w:b/>
                <w:color w:val="000000" w:themeColor="text1"/>
                <w:szCs w:val="21"/>
              </w:rPr>
              <w:t>确定 □未确定法律法规要求的具体条款，</w:t>
            </w:r>
          </w:p>
          <w:p>
            <w:pPr>
              <w:pStyle w:val="10"/>
              <w:numPr>
                <w:ilvl w:val="0"/>
                <w:numId w:val="5"/>
              </w:numPr>
              <w:tabs>
                <w:tab w:val="left" w:pos="540"/>
              </w:tabs>
              <w:spacing w:line="300" w:lineRule="exact"/>
              <w:ind w:firstLineChars="0"/>
              <w:rPr>
                <w:rFonts w:ascii="宋体" w:hAnsi="宋体"/>
                <w:b/>
                <w:color w:val="000000" w:themeColor="text1"/>
                <w:szCs w:val="21"/>
              </w:rPr>
            </w:pPr>
            <w:r>
              <w:rPr>
                <w:rFonts w:hint="eastAsia" w:ascii="宋体" w:hAnsi="宋体"/>
                <w:b/>
                <w:color w:val="000000" w:themeColor="text1"/>
                <w:szCs w:val="21"/>
              </w:rPr>
              <w:t>法律法规的宣传方式：</w:t>
            </w:r>
          </w:p>
          <w:p>
            <w:pPr>
              <w:pStyle w:val="10"/>
              <w:numPr>
                <w:ilvl w:val="0"/>
                <w:numId w:val="5"/>
              </w:numPr>
              <w:tabs>
                <w:tab w:val="left" w:pos="540"/>
              </w:tabs>
              <w:spacing w:line="300" w:lineRule="exact"/>
              <w:ind w:firstLineChars="0"/>
              <w:rPr>
                <w:rFonts w:ascii="宋体" w:hAnsi="宋体"/>
                <w:b/>
                <w:color w:val="000000" w:themeColor="text1"/>
                <w:szCs w:val="21"/>
              </w:rPr>
            </w:pPr>
            <w:r>
              <w:rPr>
                <w:rFonts w:hint="eastAsia" w:ascii="宋体" w:hAnsi="宋体"/>
                <w:b/>
                <w:color w:val="000000" w:themeColor="text1"/>
                <w:szCs w:val="21"/>
              </w:rPr>
              <w:t>法律法规要求及时更新了</w:t>
            </w:r>
          </w:p>
          <w:p>
            <w:pPr>
              <w:tabs>
                <w:tab w:val="left" w:pos="0"/>
              </w:tabs>
              <w:spacing w:line="240" w:lineRule="exact"/>
              <w:rPr>
                <w:b/>
                <w:color w:val="000000" w:themeColor="text1"/>
                <w:sz w:val="14"/>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9"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rFonts w:ascii="宋体" w:hAnsi="宋体"/>
                <w:b/>
                <w:color w:val="000000" w:themeColor="text1"/>
                <w:szCs w:val="21"/>
              </w:rPr>
            </w:pPr>
            <w:r>
              <w:rPr>
                <w:rFonts w:hint="eastAsia"/>
                <w:b/>
                <w:color w:val="000000" w:themeColor="text1"/>
                <w:szCs w:val="21"/>
              </w:rPr>
              <w:t xml:space="preserve">5. </w:t>
            </w:r>
            <w:r>
              <w:rPr>
                <w:rFonts w:hint="eastAsia" w:ascii="宋体" w:hAnsi="宋体"/>
                <w:b/>
                <w:color w:val="000000" w:themeColor="text1"/>
                <w:szCs w:val="21"/>
              </w:rPr>
              <w:t>目标、方案</w:t>
            </w:r>
          </w:p>
          <w:p>
            <w:pPr>
              <w:spacing w:line="300" w:lineRule="exact"/>
              <w:rPr>
                <w:rFonts w:ascii="宋体" w:hAnsi="宋体"/>
                <w:b/>
                <w:color w:val="000000" w:themeColor="text1"/>
                <w:sz w:val="20"/>
                <w:szCs w:val="20"/>
              </w:rPr>
            </w:pPr>
            <w:r>
              <w:rPr>
                <w:rFonts w:hint="eastAsia"/>
                <w:b/>
                <w:color w:val="000000" w:themeColor="text1"/>
                <w:sz w:val="20"/>
                <w:szCs w:val="20"/>
              </w:rPr>
              <w:t>（</w:t>
            </w:r>
            <w:r>
              <w:rPr>
                <w:rFonts w:hint="eastAsia" w:ascii="宋体" w:hAnsi="宋体"/>
                <w:b/>
                <w:color w:val="000000" w:themeColor="text1"/>
                <w:spacing w:val="-4"/>
                <w:sz w:val="20"/>
                <w:szCs w:val="20"/>
              </w:rPr>
              <w:t>在相关层次上建立</w:t>
            </w:r>
            <w:r>
              <w:rPr>
                <w:rFonts w:hint="eastAsia" w:ascii="宋体" w:hAnsi="宋体"/>
                <w:b/>
                <w:color w:val="000000" w:themeColor="text1"/>
                <w:sz w:val="20"/>
                <w:szCs w:val="20"/>
              </w:rPr>
              <w:t>可测量的目标，目标、方案的有效性，对质量目标的实现情况进行评价并叙述测量方法）</w:t>
            </w:r>
          </w:p>
          <w:p>
            <w:pPr>
              <w:spacing w:line="400" w:lineRule="exact"/>
              <w:rPr>
                <w:rFonts w:ascii="宋体" w:hAnsi="宋体"/>
                <w:b/>
                <w:color w:val="000000"/>
                <w:spacing w:val="-8"/>
                <w:sz w:val="20"/>
                <w:szCs w:val="20"/>
              </w:rPr>
            </w:pPr>
            <w:r>
              <w:rPr>
                <w:rFonts w:hint="eastAsia" w:ascii="宋体" w:hAnsi="宋体"/>
                <w:b/>
                <w:color w:val="000000"/>
                <w:spacing w:val="-8"/>
                <w:sz w:val="20"/>
                <w:szCs w:val="20"/>
              </w:rPr>
              <w:t>质量目标：</w:t>
            </w:r>
          </w:p>
          <w:p>
            <w:pPr>
              <w:ind w:firstLine="500" w:firstLineChars="200"/>
              <w:rPr>
                <w:rFonts w:hint="eastAsia" w:ascii="宋体" w:hAnsi="宋体"/>
                <w:color w:val="auto"/>
                <w:spacing w:val="20"/>
                <w:sz w:val="21"/>
                <w:szCs w:val="21"/>
              </w:rPr>
            </w:pPr>
            <w:r>
              <w:rPr>
                <w:rFonts w:hint="eastAsia" w:ascii="宋体" w:hAnsi="宋体"/>
                <w:color w:val="auto"/>
                <w:spacing w:val="20"/>
                <w:sz w:val="21"/>
                <w:szCs w:val="21"/>
              </w:rPr>
              <w:t>产品出厂合格率100%；</w:t>
            </w:r>
          </w:p>
          <w:p>
            <w:pPr>
              <w:pStyle w:val="10"/>
              <w:numPr>
                <w:ilvl w:val="0"/>
                <w:numId w:val="0"/>
              </w:numPr>
              <w:spacing w:line="400" w:lineRule="exact"/>
              <w:ind w:left="560" w:leftChars="0"/>
              <w:rPr>
                <w:rFonts w:ascii="宋体" w:hAnsi="宋体"/>
                <w:b/>
                <w:color w:val="000000"/>
                <w:spacing w:val="-8"/>
                <w:sz w:val="20"/>
                <w:szCs w:val="20"/>
              </w:rPr>
            </w:pPr>
            <w:r>
              <w:rPr>
                <w:rFonts w:hint="eastAsia" w:ascii="宋体" w:hAnsi="宋体"/>
                <w:color w:val="auto"/>
                <w:spacing w:val="20"/>
                <w:sz w:val="21"/>
                <w:szCs w:val="21"/>
              </w:rPr>
              <w:t>顾客满意度95分以上</w:t>
            </w:r>
            <w:r>
              <w:rPr>
                <w:rFonts w:hint="eastAsia" w:ascii="宋体" w:hAnsi="宋体"/>
                <w:b/>
                <w:color w:val="000000"/>
                <w:spacing w:val="-8"/>
                <w:sz w:val="20"/>
                <w:szCs w:val="20"/>
              </w:rPr>
              <w:t xml:space="preserve"> </w:t>
            </w:r>
          </w:p>
          <w:p>
            <w:pPr>
              <w:spacing w:line="400" w:lineRule="exact"/>
              <w:rPr>
                <w:rFonts w:ascii="宋体" w:hAnsi="宋体"/>
                <w:b/>
                <w:color w:val="000000"/>
                <w:spacing w:val="-8"/>
                <w:sz w:val="20"/>
                <w:szCs w:val="20"/>
              </w:rPr>
            </w:pPr>
            <w:r>
              <w:rPr>
                <w:rFonts w:hint="eastAsia" w:ascii="宋体" w:hAnsi="宋体"/>
                <w:b/>
                <w:color w:val="000000"/>
                <w:spacing w:val="-8"/>
                <w:sz w:val="20"/>
                <w:szCs w:val="20"/>
              </w:rPr>
              <w:t>环境/职业健康安全目标：</w:t>
            </w:r>
          </w:p>
          <w:p>
            <w:pPr>
              <w:ind w:firstLine="500" w:firstLineChars="200"/>
              <w:rPr>
                <w:rFonts w:hint="eastAsia" w:ascii="宋体" w:hAnsi="宋体"/>
                <w:color w:val="auto"/>
                <w:spacing w:val="20"/>
                <w:sz w:val="21"/>
                <w:szCs w:val="21"/>
              </w:rPr>
            </w:pPr>
            <w:r>
              <w:rPr>
                <w:rFonts w:hint="eastAsia" w:ascii="宋体" w:hAnsi="宋体"/>
                <w:color w:val="auto"/>
                <w:spacing w:val="20"/>
                <w:sz w:val="21"/>
                <w:szCs w:val="21"/>
              </w:rPr>
              <w:t>固体废弃物分类管理，处理率为100%；</w:t>
            </w:r>
          </w:p>
          <w:p>
            <w:pPr>
              <w:rPr>
                <w:rFonts w:hint="eastAsia" w:ascii="宋体" w:hAnsi="宋体"/>
                <w:color w:val="auto"/>
                <w:spacing w:val="20"/>
                <w:sz w:val="21"/>
                <w:szCs w:val="21"/>
              </w:rPr>
            </w:pPr>
            <w:r>
              <w:rPr>
                <w:rFonts w:hint="eastAsia" w:ascii="宋体" w:hAnsi="宋体"/>
                <w:color w:val="auto"/>
                <w:spacing w:val="20"/>
                <w:sz w:val="21"/>
                <w:szCs w:val="21"/>
              </w:rPr>
              <w:t xml:space="preserve">   重大火灾事故为0；</w:t>
            </w:r>
          </w:p>
          <w:p>
            <w:pPr>
              <w:rPr>
                <w:rFonts w:hint="eastAsia" w:ascii="宋体" w:hAnsi="宋体"/>
                <w:color w:val="auto"/>
                <w:spacing w:val="20"/>
                <w:sz w:val="21"/>
                <w:szCs w:val="21"/>
              </w:rPr>
            </w:pPr>
            <w:r>
              <w:rPr>
                <w:rFonts w:hint="eastAsia" w:ascii="宋体" w:hAnsi="宋体"/>
                <w:color w:val="auto"/>
                <w:spacing w:val="20"/>
                <w:sz w:val="21"/>
                <w:szCs w:val="21"/>
              </w:rPr>
              <w:t xml:space="preserve">   职业病发病率为0；</w:t>
            </w:r>
          </w:p>
          <w:p>
            <w:pPr>
              <w:rPr>
                <w:rFonts w:hint="eastAsia" w:ascii="宋体" w:hAnsi="宋体"/>
                <w:color w:val="auto"/>
                <w:spacing w:val="20"/>
                <w:sz w:val="21"/>
                <w:szCs w:val="21"/>
              </w:rPr>
            </w:pPr>
            <w:r>
              <w:rPr>
                <w:rFonts w:hint="eastAsia" w:ascii="宋体" w:hAnsi="宋体"/>
                <w:color w:val="auto"/>
                <w:spacing w:val="20"/>
                <w:sz w:val="21"/>
                <w:szCs w:val="21"/>
              </w:rPr>
              <w:t xml:space="preserve">   员工重大责任伤亡率为0；</w:t>
            </w:r>
          </w:p>
          <w:p>
            <w:pPr>
              <w:spacing w:line="240" w:lineRule="exact"/>
              <w:rPr>
                <w:rFonts w:ascii="宋体" w:hAnsi="宋体"/>
                <w:b/>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240" w:lineRule="exact"/>
              <w:rPr>
                <w:rFonts w:ascii="宋体" w:hAnsi="宋体"/>
                <w:b/>
                <w:color w:val="000000" w:themeColor="text1"/>
                <w:sz w:val="20"/>
                <w:szCs w:val="20"/>
              </w:rPr>
            </w:pPr>
            <w:r>
              <w:rPr>
                <w:rFonts w:hint="eastAsia"/>
                <w:b/>
                <w:color w:val="000000" w:themeColor="text1"/>
                <w:sz w:val="20"/>
                <w:szCs w:val="20"/>
              </w:rPr>
              <w:t>6. 文件与记录控制 (</w:t>
            </w:r>
            <w:r>
              <w:rPr>
                <w:rFonts w:hint="eastAsia" w:ascii="宋体" w:hAnsi="宋体"/>
                <w:b/>
                <w:color w:val="000000" w:themeColor="text1"/>
                <w:sz w:val="20"/>
                <w:szCs w:val="20"/>
              </w:rPr>
              <w:t>文审修订后文件与标准的符合程度评价、</w:t>
            </w:r>
            <w:r>
              <w:rPr>
                <w:rFonts w:hint="eastAsia" w:ascii="宋体" w:hAnsi="宋体"/>
                <w:b/>
                <w:color w:val="000000" w:themeColor="text1"/>
                <w:spacing w:val="-4"/>
                <w:sz w:val="20"/>
                <w:szCs w:val="20"/>
              </w:rPr>
              <w:t>文件</w:t>
            </w:r>
            <w:r>
              <w:rPr>
                <w:rFonts w:hint="eastAsia" w:ascii="宋体" w:hAnsi="宋体"/>
                <w:b/>
                <w:color w:val="000000" w:themeColor="text1"/>
                <w:sz w:val="20"/>
                <w:szCs w:val="20"/>
              </w:rPr>
              <w:t>控制管理等)</w:t>
            </w:r>
          </w:p>
          <w:p>
            <w:pPr>
              <w:spacing w:line="360" w:lineRule="auto"/>
              <w:ind w:firstLine="400" w:firstLineChars="200"/>
              <w:rPr>
                <w:rFonts w:ascii="宋体"/>
                <w:sz w:val="20"/>
                <w:szCs w:val="20"/>
              </w:rPr>
            </w:pPr>
            <w:r>
              <w:rPr>
                <w:rFonts w:hint="eastAsia" w:ascii="宋体" w:hAnsi="宋体"/>
                <w:sz w:val="20"/>
                <w:szCs w:val="20"/>
              </w:rPr>
              <w:t>公司编制《文件控制程序》以控制三标一体化管理体系和</w:t>
            </w:r>
            <w:r>
              <w:rPr>
                <w:rFonts w:ascii="宋体" w:hAnsi="宋体"/>
                <w:sz w:val="20"/>
                <w:szCs w:val="20"/>
              </w:rPr>
              <w:t>ISO9001</w:t>
            </w:r>
            <w:r>
              <w:rPr>
                <w:rFonts w:hint="eastAsia" w:ascii="宋体" w:hAnsi="宋体"/>
                <w:sz w:val="20"/>
                <w:szCs w:val="20"/>
              </w:rPr>
              <w:t>、</w:t>
            </w:r>
            <w:r>
              <w:rPr>
                <w:rFonts w:ascii="宋体" w:hAnsi="宋体"/>
                <w:sz w:val="20"/>
                <w:szCs w:val="20"/>
              </w:rPr>
              <w:t>ISO14001</w:t>
            </w:r>
            <w:r>
              <w:rPr>
                <w:rFonts w:hint="eastAsia" w:ascii="宋体" w:hAnsi="宋体"/>
                <w:sz w:val="20"/>
                <w:szCs w:val="20"/>
              </w:rPr>
              <w:t>、</w:t>
            </w:r>
            <w:r>
              <w:rPr>
                <w:rFonts w:ascii="宋体" w:hAnsi="宋体"/>
                <w:sz w:val="20"/>
                <w:szCs w:val="20"/>
              </w:rPr>
              <w:t>OHSAS</w:t>
            </w:r>
            <w:r>
              <w:rPr>
                <w:rFonts w:hint="eastAsia" w:ascii="宋体" w:hAnsi="宋体"/>
                <w:sz w:val="20"/>
                <w:szCs w:val="20"/>
              </w:rPr>
              <w:t>45</w:t>
            </w:r>
            <w:r>
              <w:rPr>
                <w:rFonts w:ascii="宋体" w:hAnsi="宋体"/>
                <w:sz w:val="20"/>
                <w:szCs w:val="20"/>
              </w:rPr>
              <w:t>001</w:t>
            </w:r>
            <w:r>
              <w:rPr>
                <w:rFonts w:hint="eastAsia" w:ascii="宋体" w:hAnsi="宋体"/>
                <w:sz w:val="20"/>
                <w:szCs w:val="20"/>
              </w:rPr>
              <w:t>所需要的形成文件的信息，以确保：</w:t>
            </w:r>
          </w:p>
          <w:p>
            <w:pPr>
              <w:spacing w:line="360" w:lineRule="auto"/>
              <w:ind w:firstLine="400" w:firstLineChars="200"/>
              <w:rPr>
                <w:rFonts w:ascii="宋体"/>
                <w:sz w:val="20"/>
                <w:szCs w:val="20"/>
              </w:rPr>
            </w:pPr>
            <w:r>
              <w:rPr>
                <w:rFonts w:ascii="宋体" w:hAnsi="宋体"/>
                <w:sz w:val="20"/>
                <w:szCs w:val="20"/>
              </w:rPr>
              <w:t>a)</w:t>
            </w:r>
            <w:r>
              <w:rPr>
                <w:rFonts w:hint="eastAsia" w:ascii="宋体" w:hAnsi="宋体"/>
                <w:sz w:val="20"/>
                <w:szCs w:val="20"/>
              </w:rPr>
              <w:t>在需要的场合和时机，均可获得并适用；</w:t>
            </w:r>
          </w:p>
          <w:p>
            <w:pPr>
              <w:spacing w:line="360" w:lineRule="auto"/>
              <w:ind w:firstLine="400" w:firstLineChars="200"/>
              <w:rPr>
                <w:rFonts w:ascii="宋体"/>
                <w:sz w:val="20"/>
                <w:szCs w:val="20"/>
              </w:rPr>
            </w:pPr>
            <w:r>
              <w:rPr>
                <w:rFonts w:ascii="宋体" w:hAnsi="宋体"/>
                <w:sz w:val="20"/>
                <w:szCs w:val="20"/>
              </w:rPr>
              <w:t>b)</w:t>
            </w:r>
            <w:r>
              <w:rPr>
                <w:rFonts w:hint="eastAsia" w:ascii="宋体" w:hAnsi="宋体"/>
                <w:sz w:val="20"/>
                <w:szCs w:val="20"/>
              </w:rPr>
              <w:t>予以妥善保护（如：防止失密、不当使用或不完整）。</w:t>
            </w:r>
          </w:p>
          <w:p>
            <w:pPr>
              <w:spacing w:line="360" w:lineRule="auto"/>
              <w:ind w:firstLine="400" w:firstLineChars="200"/>
              <w:rPr>
                <w:rFonts w:ascii="宋体"/>
                <w:sz w:val="20"/>
                <w:szCs w:val="20"/>
              </w:rPr>
            </w:pPr>
            <w:r>
              <w:rPr>
                <w:rFonts w:hint="eastAsia" w:ascii="宋体" w:hAnsi="宋体"/>
                <w:sz w:val="20"/>
                <w:szCs w:val="20"/>
              </w:rPr>
              <w:t>为控制形成文件的信息，公司编制《文件化信息管理程序》，关注下列活动：</w:t>
            </w:r>
          </w:p>
          <w:p>
            <w:pPr>
              <w:spacing w:line="360" w:lineRule="auto"/>
              <w:ind w:firstLine="400" w:firstLineChars="200"/>
              <w:rPr>
                <w:rFonts w:ascii="宋体"/>
                <w:sz w:val="20"/>
                <w:szCs w:val="20"/>
              </w:rPr>
            </w:pPr>
            <w:r>
              <w:rPr>
                <w:rFonts w:ascii="宋体" w:hAnsi="宋体"/>
                <w:sz w:val="20"/>
                <w:szCs w:val="20"/>
              </w:rPr>
              <w:t>a)</w:t>
            </w:r>
            <w:r>
              <w:rPr>
                <w:rFonts w:hint="eastAsia" w:ascii="宋体" w:hAnsi="宋体"/>
                <w:sz w:val="20"/>
                <w:szCs w:val="20"/>
              </w:rPr>
              <w:t>分发、访问、检索和使用；</w:t>
            </w:r>
          </w:p>
          <w:p>
            <w:pPr>
              <w:spacing w:line="360" w:lineRule="auto"/>
              <w:ind w:firstLine="400" w:firstLineChars="200"/>
              <w:rPr>
                <w:rFonts w:ascii="宋体"/>
                <w:sz w:val="20"/>
                <w:szCs w:val="20"/>
              </w:rPr>
            </w:pPr>
            <w:r>
              <w:rPr>
                <w:rFonts w:ascii="宋体" w:hAnsi="宋体"/>
                <w:sz w:val="20"/>
                <w:szCs w:val="20"/>
              </w:rPr>
              <w:t>b)</w:t>
            </w:r>
            <w:r>
              <w:rPr>
                <w:rFonts w:hint="eastAsia" w:ascii="宋体" w:hAnsi="宋体"/>
                <w:sz w:val="20"/>
                <w:szCs w:val="20"/>
              </w:rPr>
              <w:t>存储和防护，包括保护可读性；</w:t>
            </w:r>
          </w:p>
          <w:p>
            <w:pPr>
              <w:spacing w:line="360" w:lineRule="auto"/>
              <w:ind w:firstLine="400" w:firstLineChars="200"/>
              <w:rPr>
                <w:rFonts w:ascii="宋体"/>
                <w:sz w:val="20"/>
                <w:szCs w:val="20"/>
              </w:rPr>
            </w:pPr>
            <w:r>
              <w:rPr>
                <w:rFonts w:ascii="宋体" w:hAnsi="宋体"/>
                <w:sz w:val="20"/>
                <w:szCs w:val="20"/>
              </w:rPr>
              <w:t>c)</w:t>
            </w:r>
            <w:r>
              <w:rPr>
                <w:rFonts w:hint="eastAsia" w:ascii="宋体" w:hAnsi="宋体"/>
                <w:sz w:val="20"/>
                <w:szCs w:val="20"/>
              </w:rPr>
              <w:t>变更控制（比如版本控制）；</w:t>
            </w:r>
          </w:p>
          <w:p>
            <w:pPr>
              <w:spacing w:line="360" w:lineRule="auto"/>
              <w:ind w:firstLine="400" w:firstLineChars="200"/>
              <w:rPr>
                <w:rFonts w:ascii="宋体"/>
                <w:sz w:val="20"/>
                <w:szCs w:val="20"/>
              </w:rPr>
            </w:pPr>
            <w:r>
              <w:rPr>
                <w:rFonts w:ascii="宋体" w:hAnsi="宋体"/>
                <w:sz w:val="20"/>
                <w:szCs w:val="20"/>
              </w:rPr>
              <w:t>d)</w:t>
            </w:r>
            <w:r>
              <w:rPr>
                <w:rFonts w:hint="eastAsia" w:ascii="宋体" w:hAnsi="宋体"/>
                <w:sz w:val="20"/>
                <w:szCs w:val="20"/>
              </w:rPr>
              <w:t>保留和处置。</w:t>
            </w:r>
          </w:p>
          <w:p>
            <w:pPr>
              <w:spacing w:line="360" w:lineRule="auto"/>
              <w:ind w:firstLine="400" w:firstLineChars="200"/>
              <w:rPr>
                <w:rFonts w:ascii="宋体"/>
                <w:sz w:val="20"/>
                <w:szCs w:val="20"/>
              </w:rPr>
            </w:pPr>
            <w:r>
              <w:rPr>
                <w:rFonts w:hint="eastAsia" w:ascii="宋体" w:hAnsi="宋体"/>
                <w:sz w:val="20"/>
                <w:szCs w:val="20"/>
              </w:rPr>
              <w:t>对确定策划和运行三标一体化管理体系所必需的来自外部的原始的形成文件的信息，公司行政部负责进行识别和控制。</w:t>
            </w:r>
          </w:p>
          <w:p>
            <w:pPr>
              <w:spacing w:line="360" w:lineRule="auto"/>
              <w:ind w:firstLine="400" w:firstLineChars="200"/>
              <w:rPr>
                <w:rFonts w:ascii="宋体"/>
                <w:sz w:val="20"/>
                <w:szCs w:val="20"/>
              </w:rPr>
            </w:pPr>
            <w:r>
              <w:rPr>
                <w:rFonts w:hint="eastAsia" w:ascii="宋体" w:hAnsi="宋体"/>
                <w:sz w:val="20"/>
                <w:szCs w:val="20"/>
              </w:rPr>
              <w:t>公司各部门负责对所保存的作为符合性证据的形成文件的信息予以保护，防止非预期的更改。</w:t>
            </w:r>
          </w:p>
          <w:p>
            <w:pPr>
              <w:tabs>
                <w:tab w:val="left" w:pos="540"/>
              </w:tabs>
              <w:spacing w:line="240" w:lineRule="exact"/>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6" w:hRule="atLeast"/>
          <w:jc w:val="center"/>
        </w:trPr>
        <w:tc>
          <w:tcPr>
            <w:tcW w:w="720" w:type="dxa"/>
            <w:vMerge w:val="restart"/>
            <w:textDirection w:val="tbRlV"/>
            <w:vAlign w:val="center"/>
          </w:tcPr>
          <w:p>
            <w:pPr>
              <w:spacing w:line="240" w:lineRule="exact"/>
              <w:ind w:left="113" w:right="113"/>
              <w:jc w:val="center"/>
              <w:rPr>
                <w:b/>
                <w:color w:val="000000" w:themeColor="text1"/>
                <w:szCs w:val="21"/>
              </w:rPr>
            </w:pPr>
            <w:r>
              <w:rPr>
                <w:b/>
                <w:color w:val="000000" w:themeColor="text1"/>
                <w:szCs w:val="21"/>
              </w:rPr>
              <w:br w:type="page"/>
            </w:r>
            <w:r>
              <w:rPr>
                <w:rFonts w:hint="eastAsia" w:ascii="宋体" w:hAnsi="宋体"/>
                <w:b/>
                <w:color w:val="000000" w:themeColor="text1"/>
                <w:szCs w:val="21"/>
              </w:rPr>
              <w:t>(二)资源评价</w:t>
            </w:r>
          </w:p>
        </w:tc>
        <w:tc>
          <w:tcPr>
            <w:tcW w:w="9198" w:type="dxa"/>
          </w:tcPr>
          <w:p>
            <w:pPr>
              <w:spacing w:line="300" w:lineRule="exact"/>
              <w:rPr>
                <w:b/>
                <w:color w:val="000000" w:themeColor="text1"/>
                <w:sz w:val="20"/>
                <w:szCs w:val="20"/>
              </w:rPr>
            </w:pPr>
            <w:r>
              <w:rPr>
                <w:rFonts w:hint="eastAsia" w:ascii="宋体" w:hAnsi="宋体"/>
                <w:b/>
                <w:color w:val="000000" w:themeColor="text1"/>
                <w:sz w:val="20"/>
                <w:szCs w:val="20"/>
              </w:rPr>
              <w:t>人力资源的简要说明</w:t>
            </w:r>
            <w:r>
              <w:rPr>
                <w:rFonts w:hint="eastAsia"/>
                <w:b/>
                <w:color w:val="000000" w:themeColor="text1"/>
                <w:sz w:val="20"/>
                <w:szCs w:val="20"/>
              </w:rPr>
              <w:t>.</w:t>
            </w:r>
            <w:r>
              <w:rPr>
                <w:rFonts w:hint="eastAsia" w:ascii="宋体" w:hAnsi="宋体"/>
                <w:b/>
                <w:color w:val="000000" w:themeColor="text1"/>
                <w:sz w:val="20"/>
                <w:szCs w:val="20"/>
              </w:rPr>
              <w:t>:</w:t>
            </w:r>
          </w:p>
          <w:p>
            <w:pPr>
              <w:spacing w:line="360" w:lineRule="auto"/>
              <w:ind w:firstLine="400" w:firstLineChars="200"/>
              <w:rPr>
                <w:rFonts w:ascii="宋体"/>
                <w:sz w:val="20"/>
                <w:szCs w:val="20"/>
              </w:rPr>
            </w:pPr>
            <w:r>
              <w:rPr>
                <w:rFonts w:hint="eastAsia" w:ascii="宋体" w:hAnsi="宋体"/>
                <w:sz w:val="20"/>
                <w:szCs w:val="20"/>
              </w:rPr>
              <w:t>公司编制文件化的《组织架构》和《岗位说明书》，确定并配备所需的人员，以有效实施三标一体化管理体系并运行和控制其过程。</w:t>
            </w:r>
          </w:p>
          <w:p>
            <w:pPr>
              <w:spacing w:line="300" w:lineRule="exact"/>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ascii="宋体" w:hAnsi="宋体"/>
                <w:b/>
                <w:color w:val="000000" w:themeColor="text1"/>
                <w:sz w:val="20"/>
                <w:szCs w:val="20"/>
              </w:rPr>
            </w:pPr>
            <w:r>
              <w:rPr>
                <w:rFonts w:hint="eastAsia" w:ascii="宋体" w:hAnsi="宋体"/>
                <w:b/>
                <w:color w:val="000000" w:themeColor="text1"/>
                <w:sz w:val="20"/>
                <w:szCs w:val="20"/>
              </w:rPr>
              <w:t>设备设施（包括信息系统）、</w:t>
            </w:r>
          </w:p>
          <w:p>
            <w:pPr>
              <w:spacing w:line="240" w:lineRule="exact"/>
              <w:rPr>
                <w:rFonts w:ascii="宋体" w:hAnsi="宋体"/>
                <w:b/>
                <w:color w:val="000000" w:themeColor="text1"/>
                <w:sz w:val="20"/>
                <w:szCs w:val="20"/>
              </w:rPr>
            </w:pPr>
          </w:p>
          <w:p>
            <w:pPr>
              <w:spacing w:line="360" w:lineRule="auto"/>
              <w:ind w:firstLine="400" w:firstLineChars="200"/>
              <w:rPr>
                <w:rFonts w:ascii="宋体" w:hAnsi="宋体"/>
                <w:sz w:val="20"/>
                <w:szCs w:val="20"/>
              </w:rPr>
            </w:pPr>
            <w:r>
              <w:rPr>
                <w:rFonts w:hint="eastAsia" w:ascii="宋体" w:hAnsi="宋体"/>
                <w:sz w:val="20"/>
                <w:szCs w:val="20"/>
              </w:rPr>
              <w:t>公司编制《设备控制程序》，确定、提供并维护所需的基础设施，以运行过程并获得合格产品和服务。所需的基础设施包括：建筑物和相关设施、设备（包括硬件和软件）、运输资源、信息和服装机枪设备及配件。</w:t>
            </w:r>
          </w:p>
          <w:p>
            <w:pPr>
              <w:spacing w:line="240" w:lineRule="exact"/>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ascii="宋体" w:hAnsi="宋体"/>
                <w:b/>
                <w:color w:val="000000" w:themeColor="text1"/>
                <w:sz w:val="20"/>
                <w:szCs w:val="20"/>
              </w:rPr>
            </w:pPr>
            <w:r>
              <w:rPr>
                <w:rFonts w:hint="eastAsia" w:ascii="宋体" w:hAnsi="宋体"/>
                <w:b/>
                <w:color w:val="000000" w:themeColor="text1"/>
                <w:sz w:val="20"/>
                <w:szCs w:val="20"/>
              </w:rPr>
              <w:t>过程运行环境</w:t>
            </w:r>
          </w:p>
          <w:p>
            <w:pPr>
              <w:spacing w:line="360" w:lineRule="auto"/>
              <w:ind w:firstLine="400" w:firstLineChars="200"/>
              <w:rPr>
                <w:rFonts w:ascii="宋体"/>
                <w:sz w:val="20"/>
                <w:szCs w:val="20"/>
              </w:rPr>
            </w:pPr>
            <w:r>
              <w:rPr>
                <w:rFonts w:hint="eastAsia" w:ascii="宋体" w:hAnsi="宋体"/>
                <w:sz w:val="20"/>
                <w:szCs w:val="20"/>
              </w:rPr>
              <w:t>公司确定、提供并维护过程运行所需的环境，以运行过程并获得合格产品和服务。</w:t>
            </w:r>
          </w:p>
          <w:p>
            <w:pPr>
              <w:spacing w:line="360" w:lineRule="auto"/>
              <w:ind w:firstLine="400" w:firstLineChars="200"/>
              <w:rPr>
                <w:rFonts w:ascii="宋体"/>
                <w:sz w:val="20"/>
                <w:szCs w:val="20"/>
              </w:rPr>
            </w:pPr>
            <w:r>
              <w:rPr>
                <w:rFonts w:hint="eastAsia" w:ascii="宋体" w:hAnsi="宋体"/>
                <w:sz w:val="20"/>
                <w:szCs w:val="20"/>
              </w:rPr>
              <w:t>这些过程运行环境可能是人为因素与物理因素的结合，如：</w:t>
            </w:r>
          </w:p>
          <w:p>
            <w:pPr>
              <w:numPr>
                <w:ilvl w:val="0"/>
                <w:numId w:val="6"/>
              </w:numPr>
              <w:spacing w:line="360" w:lineRule="auto"/>
              <w:rPr>
                <w:rFonts w:ascii="宋体"/>
                <w:sz w:val="20"/>
                <w:szCs w:val="20"/>
              </w:rPr>
            </w:pPr>
            <w:r>
              <w:rPr>
                <w:rFonts w:hint="eastAsia" w:ascii="宋体" w:hAnsi="宋体"/>
                <w:sz w:val="20"/>
                <w:szCs w:val="20"/>
              </w:rPr>
              <w:t>社会因素（如无歧视、和谐稳定、无对抗）；</w:t>
            </w:r>
          </w:p>
          <w:p>
            <w:pPr>
              <w:numPr>
                <w:ilvl w:val="0"/>
                <w:numId w:val="6"/>
              </w:numPr>
              <w:spacing w:line="360" w:lineRule="auto"/>
              <w:rPr>
                <w:rFonts w:ascii="宋体"/>
                <w:sz w:val="20"/>
                <w:szCs w:val="20"/>
              </w:rPr>
            </w:pPr>
            <w:r>
              <w:rPr>
                <w:rFonts w:hint="eastAsia" w:ascii="宋体" w:hAnsi="宋体"/>
                <w:sz w:val="20"/>
                <w:szCs w:val="20"/>
              </w:rPr>
              <w:t>心理因素（如缓解紧张情绪、预防职业倦怠、保证情绪稳定）；</w:t>
            </w:r>
          </w:p>
          <w:p>
            <w:pPr>
              <w:numPr>
                <w:ilvl w:val="0"/>
                <w:numId w:val="6"/>
              </w:numPr>
              <w:spacing w:line="360" w:lineRule="auto"/>
              <w:rPr>
                <w:rFonts w:ascii="宋体"/>
                <w:sz w:val="20"/>
                <w:szCs w:val="20"/>
              </w:rPr>
            </w:pPr>
            <w:r>
              <w:rPr>
                <w:rFonts w:hint="eastAsia" w:ascii="宋体" w:hAnsi="宋体"/>
                <w:sz w:val="20"/>
                <w:szCs w:val="20"/>
              </w:rPr>
              <w:t>物理因素（如温度、热量、湿度、照明、空气流通、卫生、噪声等）；</w:t>
            </w:r>
          </w:p>
          <w:p>
            <w:pPr>
              <w:spacing w:line="240" w:lineRule="exact"/>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ascii="宋体" w:hAnsi="宋体"/>
                <w:b/>
                <w:color w:val="000000" w:themeColor="text1"/>
                <w:sz w:val="20"/>
                <w:szCs w:val="20"/>
              </w:rPr>
            </w:pPr>
            <w:r>
              <w:rPr>
                <w:rFonts w:hint="eastAsia" w:ascii="宋体" w:hAnsi="宋体"/>
                <w:b/>
                <w:color w:val="000000" w:themeColor="text1"/>
                <w:sz w:val="20"/>
                <w:szCs w:val="20"/>
              </w:rPr>
              <w:t>监视和测量资源</w:t>
            </w:r>
          </w:p>
          <w:p>
            <w:pPr>
              <w:spacing w:line="360" w:lineRule="auto"/>
              <w:ind w:firstLine="400" w:firstLineChars="200"/>
              <w:rPr>
                <w:rFonts w:ascii="宋体"/>
                <w:sz w:val="20"/>
                <w:szCs w:val="20"/>
              </w:rPr>
            </w:pPr>
            <w:r>
              <w:rPr>
                <w:rFonts w:hint="eastAsia" w:ascii="宋体" w:hAnsi="宋体"/>
                <w:sz w:val="20"/>
                <w:szCs w:val="20"/>
              </w:rPr>
              <w:t>公司编制《</w:t>
            </w:r>
            <w:r>
              <w:rPr>
                <w:rFonts w:hint="eastAsia"/>
                <w:sz w:val="22"/>
                <w:szCs w:val="28"/>
              </w:rPr>
              <w:t>监视和测量控制程序</w:t>
            </w:r>
            <w:r>
              <w:rPr>
                <w:rFonts w:hint="eastAsia" w:ascii="宋体" w:hAnsi="宋体"/>
                <w:sz w:val="20"/>
                <w:szCs w:val="20"/>
              </w:rPr>
              <w:t>》，用来确定并提供确保利用监视或测量活动来验证产品和服务符合要求的结果有效和可靠所需的资源，以确保所提供的资源适合特定类型的监视和测量活动，并得到适当的维护，以确保持续适合其用途。</w:t>
            </w:r>
          </w:p>
          <w:p>
            <w:pPr>
              <w:spacing w:line="360" w:lineRule="auto"/>
              <w:ind w:firstLine="400" w:firstLineChars="200"/>
              <w:rPr>
                <w:rFonts w:ascii="宋体"/>
                <w:sz w:val="20"/>
                <w:szCs w:val="20"/>
              </w:rPr>
            </w:pPr>
            <w:r>
              <w:rPr>
                <w:rFonts w:hint="eastAsia" w:ascii="宋体" w:hAnsi="宋体"/>
                <w:sz w:val="20"/>
                <w:szCs w:val="20"/>
              </w:rPr>
              <w:t>行政部负责保留作为监视和测量资源适合其用途的证据的形成文件的信息。</w:t>
            </w:r>
          </w:p>
          <w:p>
            <w:pPr>
              <w:spacing w:line="240" w:lineRule="exact"/>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ascii="宋体" w:hAnsi="宋体"/>
                <w:b/>
                <w:color w:val="000000" w:themeColor="text1"/>
                <w:sz w:val="20"/>
                <w:szCs w:val="20"/>
              </w:rPr>
            </w:pPr>
            <w:r>
              <w:rPr>
                <w:rFonts w:hint="eastAsia" w:ascii="宋体" w:hAnsi="宋体"/>
                <w:b/>
                <w:color w:val="000000" w:themeColor="text1"/>
                <w:sz w:val="20"/>
                <w:szCs w:val="20"/>
              </w:rPr>
              <w:t>知识</w:t>
            </w:r>
          </w:p>
          <w:p>
            <w:pPr>
              <w:spacing w:line="360" w:lineRule="auto"/>
              <w:ind w:firstLine="400" w:firstLineChars="200"/>
              <w:rPr>
                <w:rFonts w:ascii="宋体"/>
                <w:sz w:val="20"/>
                <w:szCs w:val="20"/>
              </w:rPr>
            </w:pPr>
            <w:r>
              <w:rPr>
                <w:rFonts w:hint="eastAsia" w:ascii="宋体" w:hAnsi="宋体"/>
                <w:sz w:val="20"/>
                <w:szCs w:val="20"/>
              </w:rPr>
              <w:t>公司确定运行过程所需的知识，以获得合格产品和服务；公司的知识可以基于内部来源和外部来源，包括但不限于：</w:t>
            </w:r>
          </w:p>
          <w:p>
            <w:pPr>
              <w:spacing w:line="360" w:lineRule="auto"/>
              <w:ind w:firstLine="400" w:firstLineChars="200"/>
              <w:rPr>
                <w:rFonts w:ascii="宋体"/>
                <w:sz w:val="20"/>
                <w:szCs w:val="20"/>
              </w:rPr>
            </w:pPr>
            <w:r>
              <w:rPr>
                <w:rFonts w:ascii="宋体" w:hAnsi="宋体"/>
                <w:sz w:val="20"/>
                <w:szCs w:val="20"/>
              </w:rPr>
              <w:t>a)</w:t>
            </w:r>
            <w:r>
              <w:rPr>
                <w:rFonts w:hint="eastAsia" w:ascii="宋体" w:hAnsi="宋体"/>
                <w:sz w:val="20"/>
                <w:szCs w:val="20"/>
              </w:rPr>
              <w:t>设计、工艺、制造、服务过程中获取的经验教训、失效分析等，包括对各类疏失、突发事件、特殊质量问题的应对措施等；</w:t>
            </w:r>
          </w:p>
          <w:p>
            <w:pPr>
              <w:spacing w:line="360" w:lineRule="auto"/>
              <w:ind w:firstLine="400" w:firstLineChars="200"/>
              <w:rPr>
                <w:rFonts w:ascii="宋体"/>
                <w:sz w:val="20"/>
                <w:szCs w:val="20"/>
              </w:rPr>
            </w:pPr>
            <w:r>
              <w:rPr>
                <w:rFonts w:ascii="宋体" w:hAnsi="宋体"/>
                <w:sz w:val="20"/>
                <w:szCs w:val="20"/>
              </w:rPr>
              <w:t>b)</w:t>
            </w:r>
            <w:r>
              <w:rPr>
                <w:rFonts w:hint="eastAsia" w:ascii="宋体" w:hAnsi="宋体"/>
                <w:sz w:val="20"/>
                <w:szCs w:val="20"/>
              </w:rPr>
              <w:t>典型、批量、惯性问题的发生情况处置方法、结果记录、分析和结论意见等；</w:t>
            </w:r>
          </w:p>
          <w:p>
            <w:pPr>
              <w:spacing w:line="360" w:lineRule="auto"/>
              <w:ind w:firstLine="400" w:firstLineChars="200"/>
              <w:rPr>
                <w:rFonts w:ascii="宋体"/>
                <w:sz w:val="20"/>
                <w:szCs w:val="20"/>
              </w:rPr>
            </w:pPr>
            <w:r>
              <w:rPr>
                <w:rFonts w:ascii="宋体" w:hAnsi="宋体"/>
                <w:sz w:val="20"/>
                <w:szCs w:val="20"/>
              </w:rPr>
              <w:t>c)</w:t>
            </w:r>
            <w:r>
              <w:rPr>
                <w:rFonts w:hint="eastAsia" w:ascii="宋体" w:hAnsi="宋体"/>
                <w:sz w:val="20"/>
                <w:szCs w:val="20"/>
              </w:rPr>
              <w:t>先进的管理理念、管理方法、最佳实践、工作方法、技能技艺、检测方法等；</w:t>
            </w:r>
          </w:p>
          <w:p>
            <w:pPr>
              <w:spacing w:line="360" w:lineRule="auto"/>
              <w:ind w:firstLine="400" w:firstLineChars="200"/>
              <w:rPr>
                <w:rFonts w:ascii="宋体"/>
                <w:sz w:val="20"/>
                <w:szCs w:val="20"/>
              </w:rPr>
            </w:pPr>
            <w:r>
              <w:rPr>
                <w:rFonts w:ascii="宋体" w:hAnsi="宋体"/>
                <w:sz w:val="20"/>
                <w:szCs w:val="20"/>
              </w:rPr>
              <w:t>d)</w:t>
            </w:r>
            <w:r>
              <w:rPr>
                <w:rFonts w:hint="eastAsia" w:ascii="宋体" w:hAnsi="宋体"/>
                <w:sz w:val="20"/>
                <w:szCs w:val="20"/>
              </w:rPr>
              <w:t>科研成果、工艺成果、</w:t>
            </w:r>
            <w:r>
              <w:rPr>
                <w:rFonts w:ascii="宋体" w:hAnsi="宋体"/>
                <w:sz w:val="20"/>
                <w:szCs w:val="20"/>
              </w:rPr>
              <w:t>QC</w:t>
            </w:r>
            <w:r>
              <w:rPr>
                <w:rFonts w:hint="eastAsia" w:ascii="宋体" w:hAnsi="宋体"/>
                <w:sz w:val="20"/>
                <w:szCs w:val="20"/>
              </w:rPr>
              <w:t>成果等；</w:t>
            </w:r>
          </w:p>
          <w:p>
            <w:pPr>
              <w:spacing w:line="360" w:lineRule="auto"/>
              <w:ind w:firstLine="400" w:firstLineChars="200"/>
              <w:rPr>
                <w:rFonts w:ascii="宋体"/>
                <w:sz w:val="20"/>
                <w:szCs w:val="20"/>
              </w:rPr>
            </w:pPr>
            <w:r>
              <w:rPr>
                <w:rFonts w:ascii="宋体" w:hAnsi="宋体"/>
                <w:sz w:val="20"/>
                <w:szCs w:val="20"/>
              </w:rPr>
              <w:t>e)</w:t>
            </w:r>
            <w:r>
              <w:rPr>
                <w:rFonts w:hint="eastAsia" w:ascii="宋体" w:hAnsi="宋体"/>
                <w:sz w:val="20"/>
                <w:szCs w:val="20"/>
              </w:rPr>
              <w:t>产品性能说明书、产品使用说明书、产品故障分析、产品维护指南等；</w:t>
            </w:r>
          </w:p>
          <w:p>
            <w:pPr>
              <w:spacing w:line="360" w:lineRule="auto"/>
              <w:ind w:firstLine="400" w:firstLineChars="200"/>
              <w:rPr>
                <w:rFonts w:ascii="宋体"/>
                <w:sz w:val="20"/>
                <w:szCs w:val="20"/>
              </w:rPr>
            </w:pPr>
            <w:r>
              <w:rPr>
                <w:rFonts w:ascii="宋体" w:hAnsi="宋体"/>
                <w:sz w:val="20"/>
                <w:szCs w:val="20"/>
              </w:rPr>
              <w:t>f)</w:t>
            </w:r>
            <w:r>
              <w:rPr>
                <w:rFonts w:hint="eastAsia" w:ascii="宋体" w:hAnsi="宋体"/>
                <w:sz w:val="20"/>
                <w:szCs w:val="20"/>
              </w:rPr>
              <w:t>知识产权（含专利和企业标准）等。</w:t>
            </w:r>
          </w:p>
          <w:p>
            <w:pPr>
              <w:spacing w:line="360" w:lineRule="auto"/>
              <w:ind w:firstLine="400" w:firstLineChars="200"/>
              <w:rPr>
                <w:rFonts w:ascii="宋体"/>
                <w:sz w:val="20"/>
                <w:szCs w:val="20"/>
              </w:rPr>
            </w:pPr>
            <w:r>
              <w:rPr>
                <w:rFonts w:hint="eastAsia" w:ascii="宋体" w:hAnsi="宋体"/>
                <w:sz w:val="20"/>
                <w:szCs w:val="20"/>
              </w:rPr>
              <w:t>公司行政部负责保持这些知识，并确保在需要范围内可得到。</w:t>
            </w:r>
          </w:p>
          <w:p>
            <w:pPr>
              <w:spacing w:line="360" w:lineRule="auto"/>
              <w:ind w:firstLine="400" w:firstLineChars="200"/>
              <w:rPr>
                <w:rFonts w:ascii="宋体"/>
                <w:sz w:val="20"/>
                <w:szCs w:val="20"/>
              </w:rPr>
            </w:pPr>
            <w:r>
              <w:rPr>
                <w:rFonts w:hint="eastAsia" w:ascii="宋体" w:hAnsi="宋体"/>
                <w:sz w:val="20"/>
                <w:szCs w:val="20"/>
              </w:rPr>
              <w:t>公司为应对不断变化的需求和发展趋势，考虑现有的知识，确定如何获取理多必要的知识，并进行更新。</w:t>
            </w:r>
          </w:p>
          <w:p>
            <w:pPr>
              <w:spacing w:line="240" w:lineRule="exact"/>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ascii="宋体" w:hAnsi="宋体"/>
                <w:b/>
                <w:color w:val="000000" w:themeColor="text1"/>
                <w:sz w:val="20"/>
                <w:szCs w:val="20"/>
              </w:rPr>
            </w:pPr>
            <w:r>
              <w:rPr>
                <w:rFonts w:hint="eastAsia" w:ascii="宋体" w:hAnsi="宋体"/>
                <w:b/>
                <w:color w:val="000000" w:themeColor="text1"/>
                <w:sz w:val="20"/>
                <w:szCs w:val="20"/>
              </w:rPr>
              <w:t>环保设施：</w:t>
            </w:r>
          </w:p>
          <w:p>
            <w:pPr>
              <w:spacing w:line="240" w:lineRule="exact"/>
              <w:rPr>
                <w:rFonts w:ascii="宋体" w:hAnsi="宋体"/>
                <w:b/>
                <w:color w:val="000000" w:themeColor="text1"/>
                <w:sz w:val="20"/>
                <w:szCs w:val="20"/>
              </w:rPr>
            </w:pPr>
            <w:r>
              <w:rPr>
                <w:rFonts w:hint="eastAsia" w:ascii="楷体" w:hAnsi="楷体" w:eastAsia="楷体" w:cs="宋体"/>
                <w:bCs/>
                <w:szCs w:val="21"/>
              </w:rPr>
              <w:t>环保设备配置</w:t>
            </w:r>
            <w:r>
              <w:rPr>
                <w:rFonts w:ascii="楷体" w:hAnsi="楷体" w:eastAsia="楷体" w:cs="宋体"/>
                <w:bCs/>
                <w:szCs w:val="21"/>
              </w:rPr>
              <w:t>:</w:t>
            </w:r>
            <w:r>
              <w:rPr>
                <w:rFonts w:hint="eastAsia" w:ascii="楷体" w:hAnsi="楷体" w:eastAsia="楷体" w:cs="宋体"/>
                <w:szCs w:val="21"/>
              </w:rPr>
              <w:t>生活污水经隔油+化粪池、</w:t>
            </w:r>
            <w:r>
              <w:rPr>
                <w:rFonts w:hint="eastAsia" w:ascii="楷体" w:hAnsi="楷体" w:eastAsia="楷体" w:cs="宋体"/>
                <w:szCs w:val="21"/>
                <w:lang w:val="en-US" w:eastAsia="zh-CN"/>
              </w:rPr>
              <w:t>中央集尘处理</w:t>
            </w:r>
            <w:r>
              <w:rPr>
                <w:rFonts w:hint="eastAsia" w:ascii="楷体" w:hAnsi="楷体" w:eastAsia="楷体" w:cs="宋体"/>
                <w:szCs w:val="21"/>
              </w:rPr>
              <w:t>、</w:t>
            </w:r>
            <w:r>
              <w:rPr>
                <w:rFonts w:hint="eastAsia" w:ascii="楷体" w:hAnsi="楷体" w:eastAsia="楷体" w:cs="宋体"/>
                <w:bCs/>
                <w:szCs w:val="21"/>
              </w:rPr>
              <w:t>灭火器、消防器材、隔音、绿化等。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ascii="宋体" w:hAnsi="宋体"/>
                <w:b/>
                <w:color w:val="000000" w:themeColor="text1"/>
                <w:sz w:val="20"/>
                <w:szCs w:val="20"/>
              </w:rPr>
            </w:pPr>
            <w:r>
              <w:rPr>
                <w:rFonts w:hint="eastAsia" w:ascii="宋体" w:hAnsi="宋体"/>
                <w:b/>
                <w:color w:val="000000" w:themeColor="text1"/>
                <w:sz w:val="20"/>
                <w:szCs w:val="20"/>
              </w:rPr>
              <w:t>职业健康安全设施：</w:t>
            </w:r>
            <w:r>
              <w:rPr>
                <w:rFonts w:hint="eastAsia" w:ascii="宋体" w:hAnsi="宋体"/>
                <w:b/>
                <w:color w:val="000000"/>
                <w:sz w:val="20"/>
                <w:szCs w:val="20"/>
              </w:rPr>
              <w:t>消防栓、灭火器、</w:t>
            </w:r>
            <w:r>
              <w:rPr>
                <w:rFonts w:hint="eastAsia" w:ascii="楷体" w:hAnsi="楷体" w:eastAsia="楷体" w:cs="宋体"/>
                <w:bCs/>
                <w:szCs w:val="21"/>
              </w:rPr>
              <w:t>标识牌等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1" w:hRule="atLeast"/>
          <w:jc w:val="center"/>
        </w:trPr>
        <w:tc>
          <w:tcPr>
            <w:tcW w:w="720" w:type="dxa"/>
            <w:vMerge w:val="restart"/>
            <w:textDirection w:val="tbRlV"/>
            <w:vAlign w:val="center"/>
          </w:tcPr>
          <w:p>
            <w:pPr>
              <w:spacing w:line="240" w:lineRule="exact"/>
              <w:ind w:left="113" w:right="113"/>
              <w:jc w:val="center"/>
              <w:rPr>
                <w:b/>
                <w:color w:val="000000" w:themeColor="text1"/>
                <w:sz w:val="20"/>
                <w:szCs w:val="20"/>
              </w:rPr>
            </w:pPr>
            <w:r>
              <w:rPr>
                <w:rFonts w:hint="eastAsia"/>
                <w:b/>
                <w:color w:val="000000" w:themeColor="text1"/>
                <w:sz w:val="20"/>
                <w:szCs w:val="20"/>
              </w:rPr>
              <w:t>(三)体系运行情况</w:t>
            </w:r>
          </w:p>
        </w:tc>
        <w:tc>
          <w:tcPr>
            <w:tcW w:w="9198" w:type="dxa"/>
          </w:tcPr>
          <w:p>
            <w:pPr>
              <w:spacing w:line="300" w:lineRule="exact"/>
              <w:rPr>
                <w:b/>
                <w:color w:val="000000" w:themeColor="text1"/>
                <w:sz w:val="20"/>
                <w:szCs w:val="20"/>
              </w:rPr>
            </w:pPr>
            <w:r>
              <w:rPr>
                <w:rFonts w:hint="eastAsia"/>
                <w:b/>
                <w:color w:val="000000" w:themeColor="text1"/>
                <w:sz w:val="20"/>
                <w:szCs w:val="20"/>
              </w:rPr>
              <w:t>1. 针对方针的管理职责评审</w:t>
            </w:r>
          </w:p>
          <w:p>
            <w:pPr>
              <w:spacing w:line="300" w:lineRule="exact"/>
              <w:ind w:left="1"/>
              <w:rPr>
                <w:b/>
                <w:color w:val="000000" w:themeColor="text1"/>
                <w:sz w:val="20"/>
                <w:szCs w:val="20"/>
              </w:rPr>
            </w:pPr>
            <w:r>
              <w:rPr>
                <w:rFonts w:hint="eastAsia"/>
                <w:b/>
                <w:color w:val="000000" w:themeColor="text1"/>
                <w:sz w:val="20"/>
                <w:szCs w:val="20"/>
              </w:rPr>
              <w:t>（包括针对组织宗旨，制定相关管理方针政策、确保方针为员工理解并在运营中实施，监视方针的实施并评审方针的适宜性）</w:t>
            </w:r>
          </w:p>
          <w:p>
            <w:pPr>
              <w:spacing w:line="300" w:lineRule="exact"/>
              <w:ind w:left="1"/>
              <w:rPr>
                <w:b/>
                <w:color w:val="000000" w:themeColor="text1"/>
                <w:sz w:val="20"/>
                <w:szCs w:val="20"/>
              </w:rPr>
            </w:pPr>
          </w:p>
          <w:p>
            <w:pPr>
              <w:spacing w:line="360" w:lineRule="auto"/>
              <w:ind w:firstLine="400" w:firstLineChars="200"/>
              <w:rPr>
                <w:rFonts w:ascii="宋体"/>
                <w:sz w:val="20"/>
                <w:szCs w:val="20"/>
              </w:rPr>
            </w:pPr>
            <w:r>
              <w:rPr>
                <w:rFonts w:hint="eastAsia"/>
                <w:color w:val="000000"/>
                <w:sz w:val="20"/>
                <w:szCs w:val="20"/>
              </w:rPr>
              <w:t>方针符合组织的宗旨，</w:t>
            </w:r>
            <w:r>
              <w:rPr>
                <w:rFonts w:hint="eastAsia" w:ascii="宋体" w:hAnsi="宋体"/>
                <w:sz w:val="20"/>
                <w:szCs w:val="20"/>
              </w:rPr>
              <w:t>一体化管理方针形成文件传达到全体员工，确保得到有效控制，使全体员工正确理解并坚决执行，且应定期对其适宜性进行评审。</w:t>
            </w:r>
          </w:p>
          <w:p>
            <w:pPr>
              <w:spacing w:line="300" w:lineRule="exact"/>
              <w:ind w:left="1"/>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3"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ind w:left="159" w:hanging="159" w:hangingChars="79"/>
              <w:rPr>
                <w:b/>
                <w:color w:val="000000" w:themeColor="text1"/>
                <w:sz w:val="20"/>
                <w:szCs w:val="20"/>
              </w:rPr>
            </w:pPr>
            <w:r>
              <w:rPr>
                <w:rFonts w:hint="eastAsia"/>
                <w:b/>
                <w:color w:val="000000" w:themeColor="text1"/>
                <w:sz w:val="20"/>
                <w:szCs w:val="20"/>
              </w:rPr>
              <w:t>2. 组织内部沟通的充分性与效果；（OHSMS员工参与风险管理/健康安全事务的关心和影响力；组织对外联络关注顾客的感受情况、</w:t>
            </w:r>
            <w:r>
              <w:rPr>
                <w:b/>
                <w:color w:val="000000" w:themeColor="text1"/>
                <w:sz w:val="20"/>
                <w:szCs w:val="20"/>
              </w:rPr>
              <w:t>信息交流</w:t>
            </w:r>
            <w:r>
              <w:rPr>
                <w:rFonts w:hint="eastAsia"/>
                <w:b/>
                <w:color w:val="000000" w:themeColor="text1"/>
                <w:sz w:val="20"/>
                <w:szCs w:val="20"/>
              </w:rPr>
              <w:t>包括通报相关方的情况等）</w:t>
            </w:r>
          </w:p>
          <w:p>
            <w:pPr>
              <w:spacing w:line="240" w:lineRule="exact"/>
              <w:rPr>
                <w:rFonts w:ascii="楷体_GB2312" w:eastAsia="楷体_GB2312"/>
                <w:b/>
                <w:color w:val="000000" w:themeColor="text1"/>
                <w:sz w:val="20"/>
                <w:szCs w:val="20"/>
              </w:rPr>
            </w:pPr>
          </w:p>
          <w:p>
            <w:pPr>
              <w:spacing w:line="240" w:lineRule="exact"/>
              <w:rPr>
                <w:rFonts w:ascii="楷体_GB2312" w:eastAsia="楷体_GB2312"/>
                <w:b/>
                <w:color w:val="000000" w:themeColor="text1"/>
                <w:sz w:val="20"/>
                <w:szCs w:val="20"/>
              </w:rPr>
            </w:pPr>
            <w:r>
              <w:rPr>
                <w:rFonts w:hint="eastAsia" w:ascii="楷体_GB2312" w:eastAsia="楷体_GB2312"/>
                <w:b/>
                <w:color w:val="000000" w:themeColor="text1"/>
                <w:sz w:val="20"/>
                <w:szCs w:val="20"/>
              </w:rPr>
              <w:t>内部沟通的情况：内部沟通方式：内部沟通方式：文件、开会、微信等</w:t>
            </w:r>
          </w:p>
          <w:p>
            <w:pPr>
              <w:spacing w:line="240" w:lineRule="exact"/>
              <w:rPr>
                <w:rFonts w:ascii="楷体_GB2312" w:eastAsia="楷体_GB2312"/>
                <w:b/>
                <w:color w:val="000000" w:themeColor="text1"/>
                <w:sz w:val="20"/>
                <w:szCs w:val="20"/>
              </w:rPr>
            </w:pPr>
            <w:r>
              <w:rPr>
                <w:rFonts w:hint="eastAsia" w:ascii="楷体_GB2312" w:eastAsia="楷体_GB2312"/>
                <w:b/>
                <w:color w:val="000000" w:themeColor="text1"/>
                <w:sz w:val="20"/>
                <w:szCs w:val="20"/>
              </w:rPr>
              <w:t xml:space="preserve">                内部沟通的效果：</w:t>
            </w:r>
            <w:r>
              <w:rPr>
                <w:rFonts w:hint="eastAsia" w:ascii="楷体_GB2312" w:eastAsia="楷体_GB2312"/>
                <w:b/>
                <w:color w:val="000000"/>
                <w:sz w:val="20"/>
                <w:szCs w:val="20"/>
              </w:rPr>
              <w:t>有效</w:t>
            </w:r>
          </w:p>
          <w:p>
            <w:pPr>
              <w:spacing w:line="240" w:lineRule="exact"/>
              <w:rPr>
                <w:rFonts w:ascii="楷体_GB2312" w:eastAsia="楷体_GB2312"/>
                <w:b/>
                <w:color w:val="000000" w:themeColor="text1"/>
                <w:sz w:val="20"/>
                <w:szCs w:val="20"/>
              </w:rPr>
            </w:pPr>
          </w:p>
          <w:p>
            <w:pPr>
              <w:spacing w:line="240" w:lineRule="exact"/>
              <w:rPr>
                <w:rFonts w:ascii="楷体_GB2312" w:eastAsia="楷体_GB2312"/>
                <w:b/>
                <w:color w:val="000000" w:themeColor="text1"/>
                <w:sz w:val="20"/>
                <w:szCs w:val="20"/>
              </w:rPr>
            </w:pPr>
            <w:r>
              <w:rPr>
                <w:rFonts w:hint="eastAsia" w:ascii="楷体_GB2312" w:eastAsia="楷体_GB2312"/>
                <w:b/>
                <w:color w:val="000000" w:themeColor="text1"/>
                <w:sz w:val="20"/>
                <w:szCs w:val="20"/>
              </w:rPr>
              <w:t>组织对外联络，关注顾客的感受情况（QMS）：</w:t>
            </w:r>
            <w:r>
              <w:rPr>
                <w:rFonts w:hint="eastAsia" w:ascii="楷体_GB2312" w:eastAsia="楷体_GB2312"/>
                <w:b/>
                <w:color w:val="000000"/>
                <w:sz w:val="20"/>
                <w:szCs w:val="20"/>
              </w:rPr>
              <w:t>顾客满意度评价、合同等</w:t>
            </w:r>
          </w:p>
          <w:p>
            <w:pPr>
              <w:spacing w:line="240" w:lineRule="exact"/>
              <w:rPr>
                <w:rFonts w:ascii="楷体_GB2312" w:eastAsia="楷体_GB2312"/>
                <w:b/>
                <w:color w:val="000000" w:themeColor="text1"/>
                <w:sz w:val="20"/>
                <w:szCs w:val="20"/>
              </w:rPr>
            </w:pPr>
          </w:p>
          <w:p>
            <w:pPr>
              <w:spacing w:line="240" w:lineRule="exact"/>
              <w:rPr>
                <w:rFonts w:ascii="楷体_GB2312" w:eastAsia="楷体_GB2312"/>
                <w:b/>
                <w:color w:val="000000" w:themeColor="text1"/>
                <w:sz w:val="20"/>
                <w:szCs w:val="20"/>
              </w:rPr>
            </w:pPr>
            <w:r>
              <w:rPr>
                <w:rFonts w:hint="eastAsia" w:ascii="楷体_GB2312" w:eastAsia="楷体_GB2312"/>
                <w:b/>
                <w:color w:val="000000" w:themeColor="text1"/>
                <w:sz w:val="20"/>
                <w:szCs w:val="20"/>
              </w:rPr>
              <w:t>外部信息的接收、成文并答复的情况（E、S填写）：行政部按建立的信息交流过程的规定及公司合规义务的要求，就三标一体化管理体系的相关信息进行外部信息交流，与进入工作场所的承包方和其他访问者进行沟通；接收、记录和回应来自外部相关方的相关沟通。</w:t>
            </w:r>
          </w:p>
          <w:p>
            <w:pPr>
              <w:spacing w:line="240" w:lineRule="exact"/>
              <w:rPr>
                <w:rFonts w:ascii="楷体_GB2312" w:eastAsia="楷体_GB2312"/>
                <w:b/>
                <w:color w:val="000000" w:themeColor="text1"/>
                <w:sz w:val="20"/>
                <w:szCs w:val="20"/>
              </w:rPr>
            </w:pPr>
          </w:p>
          <w:p>
            <w:pPr>
              <w:spacing w:line="240" w:lineRule="exact"/>
              <w:rPr>
                <w:rFonts w:ascii="楷体_GB2312" w:eastAsia="楷体_GB2312"/>
                <w:b/>
                <w:color w:val="000000" w:themeColor="text1"/>
                <w:sz w:val="20"/>
                <w:szCs w:val="20"/>
              </w:rPr>
            </w:pPr>
            <w:r>
              <w:rPr>
                <w:rFonts w:hint="eastAsia" w:ascii="楷体_GB2312" w:eastAsia="楷体_GB2312"/>
                <w:b/>
                <w:color w:val="000000" w:themeColor="text1"/>
                <w:sz w:val="20"/>
                <w:szCs w:val="20"/>
              </w:rPr>
              <w:t>重要环境因素信息对外交流情况（EMS填写）：</w:t>
            </w:r>
            <w:r>
              <w:rPr>
                <w:rFonts w:hint="eastAsia" w:ascii="楷体_GB2312" w:eastAsia="楷体_GB2312"/>
                <w:b/>
                <w:color w:val="000000"/>
                <w:sz w:val="20"/>
                <w:szCs w:val="20"/>
              </w:rPr>
              <w:t>告之员工和外来人员并张贴警示标记。</w:t>
            </w:r>
          </w:p>
          <w:p>
            <w:pPr>
              <w:spacing w:line="240" w:lineRule="exact"/>
              <w:rPr>
                <w:rFonts w:ascii="楷体_GB2312" w:eastAsia="楷体_GB2312"/>
                <w:b/>
                <w:color w:val="000000" w:themeColor="text1"/>
                <w:sz w:val="20"/>
                <w:szCs w:val="20"/>
              </w:rPr>
            </w:pPr>
          </w:p>
          <w:p>
            <w:pPr>
              <w:spacing w:line="240" w:lineRule="exact"/>
              <w:rPr>
                <w:rFonts w:ascii="楷体_GB2312" w:eastAsia="楷体_GB2312"/>
                <w:b/>
                <w:color w:val="000000" w:themeColor="text1"/>
                <w:sz w:val="20"/>
                <w:szCs w:val="20"/>
              </w:rPr>
            </w:pPr>
            <w:r>
              <w:rPr>
                <w:rFonts w:hint="eastAsia" w:ascii="楷体_GB2312" w:eastAsia="楷体_GB2312"/>
                <w:b/>
                <w:color w:val="000000" w:themeColor="text1"/>
                <w:sz w:val="20"/>
                <w:szCs w:val="20"/>
              </w:rPr>
              <w:t>OHSMS事务代表协商和交流的情况（OHSMS填写）：</w:t>
            </w:r>
            <w:r>
              <w:rPr>
                <w:rFonts w:hint="eastAsia" w:ascii="楷体_GB2312" w:eastAsia="楷体_GB2312"/>
                <w:b/>
                <w:color w:val="000000"/>
                <w:sz w:val="20"/>
                <w:szCs w:val="20"/>
              </w:rPr>
              <w:t>告之员工谁是</w:t>
            </w:r>
            <w:r>
              <w:rPr>
                <w:rFonts w:ascii="楷体_GB2312" w:eastAsia="楷体_GB2312"/>
                <w:b/>
                <w:color w:val="000000"/>
                <w:sz w:val="20"/>
                <w:szCs w:val="20"/>
              </w:rPr>
              <w:t>OHSMS</w:t>
            </w:r>
            <w:r>
              <w:rPr>
                <w:rFonts w:hint="eastAsia" w:ascii="楷体_GB2312" w:eastAsia="楷体_GB2312"/>
                <w:b/>
                <w:color w:val="000000"/>
                <w:sz w:val="20"/>
                <w:szCs w:val="20"/>
              </w:rPr>
              <w:t>事务代表，参与公司的职业健康安全事务。</w:t>
            </w:r>
          </w:p>
          <w:p>
            <w:pPr>
              <w:spacing w:line="240" w:lineRule="exact"/>
              <w:rPr>
                <w:rFonts w:ascii="楷体_GB2312" w:eastAsia="楷体_GB2312"/>
                <w:b/>
                <w:color w:val="000000" w:themeColor="text1"/>
                <w:szCs w:val="21"/>
              </w:rPr>
            </w:pPr>
          </w:p>
          <w:p>
            <w:pPr>
              <w:spacing w:line="240" w:lineRule="exact"/>
              <w:rPr>
                <w:rFonts w:ascii="楷体_GB2312" w:eastAsia="楷体_GB2312"/>
                <w:b/>
                <w:color w:val="000000" w:themeColor="text1"/>
                <w:szCs w:val="21"/>
              </w:rPr>
            </w:pPr>
            <w:r>
              <w:rPr>
                <w:rFonts w:hint="eastAsia" w:ascii="楷体_GB2312" w:eastAsia="楷体_GB2312"/>
                <w:b/>
                <w:color w:val="000000" w:themeColor="text1"/>
                <w:szCs w:val="21"/>
              </w:rPr>
              <w:t>与相关方协商的情况（OHSMS填写）：与承包方就影响他们的职业健康安全变更进行协商并确保与相关的外部相关方就有关的职业健康安全事务进行协商。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z w:val="20"/>
                <w:szCs w:val="20"/>
              </w:rPr>
            </w:pPr>
            <w:r>
              <w:rPr>
                <w:rFonts w:hint="eastAsia"/>
                <w:b/>
                <w:color w:val="000000" w:themeColor="text1"/>
                <w:sz w:val="20"/>
                <w:szCs w:val="20"/>
              </w:rPr>
              <w:t>3.  QMS 组织对重要过程实施控制的结果</w:t>
            </w:r>
          </w:p>
          <w:p>
            <w:pPr>
              <w:spacing w:line="240" w:lineRule="exact"/>
              <w:ind w:left="188" w:leftChars="42" w:hanging="100" w:hangingChars="50"/>
              <w:rPr>
                <w:b/>
                <w:color w:val="000000" w:themeColor="text1"/>
                <w:sz w:val="20"/>
                <w:szCs w:val="20"/>
              </w:rPr>
            </w:pPr>
            <w:r>
              <w:rPr>
                <w:rFonts w:hint="eastAsia"/>
                <w:b/>
                <w:color w:val="000000" w:themeColor="text1"/>
                <w:sz w:val="20"/>
                <w:szCs w:val="20"/>
              </w:rPr>
              <w:t>(包括对QMS关键工序(过程)、特殊过程控制;评价组织对过程实施控制情况/)</w:t>
            </w:r>
          </w:p>
          <w:p>
            <w:pPr>
              <w:spacing w:line="240" w:lineRule="exact"/>
              <w:rPr>
                <w:b/>
                <w:color w:val="000000" w:themeColor="text1"/>
                <w:sz w:val="20"/>
                <w:szCs w:val="20"/>
              </w:rPr>
            </w:pPr>
            <w:r>
              <w:rPr>
                <w:rFonts w:hint="eastAsia"/>
                <w:b/>
                <w:color w:val="000000"/>
                <w:sz w:val="20"/>
                <w:szCs w:val="20"/>
              </w:rPr>
              <w:t>焊接、喷涂</w:t>
            </w:r>
            <w:r>
              <w:rPr>
                <w:rFonts w:hint="eastAsia"/>
                <w:b/>
                <w:color w:val="000000"/>
                <w:sz w:val="20"/>
                <w:szCs w:val="20"/>
                <w:lang w:eastAsia="zh-CN"/>
              </w:rPr>
              <w:t>、</w:t>
            </w:r>
            <w:r>
              <w:rPr>
                <w:rFonts w:hint="eastAsia"/>
                <w:b/>
                <w:color w:val="000000"/>
                <w:sz w:val="20"/>
                <w:szCs w:val="20"/>
                <w:lang w:val="en-US" w:eastAsia="zh-CN"/>
              </w:rPr>
              <w:t>销售</w:t>
            </w:r>
            <w:r>
              <w:rPr>
                <w:rFonts w:hint="eastAsia"/>
                <w:b/>
                <w:color w:val="000000"/>
                <w:sz w:val="20"/>
                <w:szCs w:val="20"/>
              </w:rPr>
              <w:t>为重要过程，公司实施严格控制，做好采购产品的质量控制，效果明显，未发生质量纠纷。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300" w:lineRule="exact"/>
              <w:jc w:val="left"/>
              <w:rPr>
                <w:b/>
                <w:color w:val="000000" w:themeColor="text1"/>
                <w:sz w:val="20"/>
                <w:szCs w:val="20"/>
              </w:rPr>
            </w:pPr>
            <w:r>
              <w:rPr>
                <w:rFonts w:hint="eastAsia"/>
                <w:b/>
                <w:color w:val="000000" w:themeColor="text1"/>
                <w:sz w:val="20"/>
                <w:szCs w:val="20"/>
              </w:rPr>
              <w:t>4.QMS产品/服务的标准、协议/规范的有效性以及产品/服务质量符合要求，向顾客稳定提供合格产品的情况；</w:t>
            </w:r>
          </w:p>
          <w:p>
            <w:pPr>
              <w:spacing w:line="300" w:lineRule="exact"/>
              <w:rPr>
                <w:b/>
                <w:color w:val="000000" w:themeColor="text1"/>
                <w:sz w:val="20"/>
                <w:szCs w:val="20"/>
              </w:rPr>
            </w:pPr>
            <w:r>
              <w:rPr>
                <w:b/>
                <w:color w:val="000000" w:themeColor="text1"/>
                <w:sz w:val="20"/>
                <w:szCs w:val="20"/>
              </w:rPr>
              <w:t>企业采用标准：</w:t>
            </w:r>
            <w:r>
              <w:rPr>
                <w:rFonts w:hint="eastAsia" w:ascii="宋体" w:hAnsi="宋体" w:eastAsia="宋体" w:cs="宋体"/>
                <w:b w:val="0"/>
                <w:bCs w:val="0"/>
                <w:sz w:val="21"/>
                <w:szCs w:val="21"/>
                <w:lang w:eastAsia="zh-CN"/>
              </w:rPr>
              <w:t>金属</w:t>
            </w:r>
            <w:r>
              <w:rPr>
                <w:rFonts w:hint="eastAsia" w:ascii="宋体" w:hAnsi="宋体" w:eastAsia="宋体" w:cs="宋体"/>
                <w:b w:val="0"/>
                <w:bCs w:val="0"/>
                <w:sz w:val="21"/>
                <w:szCs w:val="21"/>
              </w:rPr>
              <w:t>家具通用技术条件</w:t>
            </w:r>
            <w:r>
              <w:rPr>
                <w:rFonts w:hint="eastAsia" w:ascii="宋体" w:hAnsi="宋体" w:eastAsia="宋体" w:cs="宋体"/>
                <w:b w:val="0"/>
                <w:bCs w:val="0"/>
                <w:sz w:val="21"/>
                <w:szCs w:val="21"/>
                <w:lang w:eastAsia="zh-CN"/>
              </w:rPr>
              <w:t>GB/T</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lang w:eastAsia="zh-CN"/>
              </w:rPr>
              <w:t>332</w:t>
            </w:r>
            <w:r>
              <w:rPr>
                <w:rFonts w:hint="eastAsia" w:ascii="宋体" w:hAnsi="宋体" w:eastAsia="宋体" w:cs="宋体"/>
                <w:b w:val="0"/>
                <w:bCs w:val="0"/>
                <w:sz w:val="21"/>
                <w:szCs w:val="21"/>
                <w:lang w:val="en-US" w:eastAsia="zh-CN"/>
              </w:rPr>
              <w:t>5</w:t>
            </w:r>
            <w:r>
              <w:rPr>
                <w:rFonts w:hint="eastAsia" w:ascii="宋体" w:hAnsi="宋体" w:eastAsia="宋体" w:cs="宋体"/>
                <w:b w:val="0"/>
                <w:bCs w:val="0"/>
                <w:sz w:val="21"/>
                <w:szCs w:val="21"/>
                <w:lang w:eastAsia="zh-CN"/>
              </w:rPr>
              <w:t>-20</w:t>
            </w:r>
            <w:r>
              <w:rPr>
                <w:rFonts w:hint="eastAsia" w:ascii="宋体" w:hAnsi="宋体" w:eastAsia="宋体" w:cs="宋体"/>
                <w:b w:val="0"/>
                <w:bCs w:val="0"/>
                <w:sz w:val="21"/>
                <w:szCs w:val="21"/>
                <w:lang w:val="en-US" w:eastAsia="zh-CN"/>
              </w:rPr>
              <w:t>17、</w:t>
            </w:r>
            <w:r>
              <w:rPr>
                <w:rFonts w:hint="eastAsia" w:ascii="宋体" w:hAnsi="宋体" w:eastAsia="宋体" w:cs="宋体"/>
                <w:b w:val="0"/>
                <w:bCs w:val="0"/>
                <w:sz w:val="21"/>
                <w:szCs w:val="21"/>
              </w:rPr>
              <w:t>金库门通用技术条件</w:t>
            </w:r>
            <w:r>
              <w:rPr>
                <w:rFonts w:hint="eastAsia" w:ascii="宋体" w:hAnsi="宋体" w:eastAsia="宋体" w:cs="宋体"/>
                <w:b w:val="0"/>
                <w:bCs w:val="0"/>
                <w:sz w:val="21"/>
                <w:szCs w:val="21"/>
                <w:lang w:eastAsia="zh-CN"/>
              </w:rPr>
              <w:t>GA/T143—1996、</w:t>
            </w:r>
            <w:r>
              <w:rPr>
                <w:rFonts w:hint="eastAsia" w:ascii="宋体" w:hAnsi="宋体" w:eastAsia="宋体" w:cs="宋体"/>
                <w:b w:val="0"/>
                <w:bCs w:val="0"/>
                <w:sz w:val="21"/>
                <w:szCs w:val="21"/>
              </w:rPr>
              <w:t xml:space="preserve">电动密集书架技术条件 </w:t>
            </w:r>
            <w:r>
              <w:rPr>
                <w:rFonts w:hint="eastAsia" w:ascii="宋体" w:hAnsi="宋体" w:eastAsia="宋体" w:cs="宋体"/>
                <w:b w:val="0"/>
                <w:bCs w:val="0"/>
                <w:sz w:val="21"/>
                <w:szCs w:val="21"/>
                <w:lang w:eastAsia="zh-CN"/>
              </w:rPr>
              <w:t>GB/T</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lang w:eastAsia="zh-CN"/>
              </w:rPr>
              <w:t>13677.4—20</w:t>
            </w:r>
            <w:r>
              <w:rPr>
                <w:rFonts w:hint="eastAsia" w:ascii="宋体" w:hAnsi="宋体" w:eastAsia="宋体" w:cs="宋体"/>
                <w:b w:val="0"/>
                <w:bCs w:val="0"/>
                <w:sz w:val="21"/>
                <w:szCs w:val="21"/>
                <w:lang w:val="en-US" w:eastAsia="zh-CN"/>
              </w:rPr>
              <w:t>13、</w:t>
            </w:r>
            <w:r>
              <w:rPr>
                <w:rFonts w:hint="eastAsia" w:ascii="宋体" w:hAnsi="宋体" w:eastAsia="宋体" w:cs="宋体"/>
                <w:b w:val="0"/>
                <w:bCs w:val="0"/>
                <w:sz w:val="21"/>
                <w:szCs w:val="21"/>
              </w:rPr>
              <w:t>涂装作业安全规程-粉末静电喷涂工艺安全</w:t>
            </w:r>
            <w:r>
              <w:rPr>
                <w:rFonts w:hint="eastAsia" w:ascii="宋体" w:hAnsi="宋体" w:eastAsia="宋体" w:cs="宋体"/>
                <w:b w:val="0"/>
                <w:bCs w:val="0"/>
                <w:sz w:val="21"/>
                <w:szCs w:val="21"/>
                <w:lang w:eastAsia="zh-CN"/>
              </w:rPr>
              <w:t>GB</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lang w:eastAsia="zh-CN"/>
              </w:rPr>
              <w:t>15067-2008</w:t>
            </w:r>
            <w:r>
              <w:rPr>
                <w:rFonts w:hint="eastAsia" w:ascii="宋体" w:hAnsi="宋体" w:eastAsia="宋体" w:cs="宋体"/>
                <w:b w:val="0"/>
                <w:bCs w:val="0"/>
                <w:sz w:val="21"/>
                <w:szCs w:val="21"/>
                <w:lang w:val="en-US" w:eastAsia="zh-CN"/>
              </w:rPr>
              <w:t>等</w:t>
            </w:r>
            <w:r>
              <w:rPr>
                <w:rFonts w:hint="eastAsia"/>
                <w:b/>
                <w:color w:val="000000" w:themeColor="text1"/>
                <w:sz w:val="20"/>
                <w:szCs w:val="20"/>
              </w:rPr>
              <w:t>企业制定的《作业指导书》、相关合同及客户要求等</w:t>
            </w:r>
          </w:p>
          <w:p>
            <w:pPr>
              <w:spacing w:line="240" w:lineRule="exact"/>
              <w:rPr>
                <w:b/>
                <w:color w:val="000000" w:themeColor="text1"/>
                <w:sz w:val="20"/>
                <w:szCs w:val="20"/>
              </w:rPr>
            </w:pPr>
          </w:p>
          <w:p>
            <w:pPr>
              <w:spacing w:line="240" w:lineRule="exact"/>
              <w:rPr>
                <w:b/>
                <w:color w:val="000000" w:themeColor="text1"/>
                <w:sz w:val="20"/>
                <w:szCs w:val="20"/>
              </w:rPr>
            </w:pPr>
            <w:r>
              <w:rPr>
                <w:rFonts w:hint="eastAsia"/>
                <w:b/>
                <w:color w:val="000000" w:themeColor="text1"/>
                <w:sz w:val="20"/>
                <w:szCs w:val="20"/>
              </w:rPr>
              <w:t>(应说明相关证据)：</w:t>
            </w:r>
          </w:p>
          <w:p>
            <w:pPr>
              <w:spacing w:line="240" w:lineRule="exac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z w:val="20"/>
                <w:szCs w:val="20"/>
              </w:rPr>
            </w:pPr>
            <w:r>
              <w:rPr>
                <w:rFonts w:hint="eastAsia"/>
                <w:b/>
                <w:color w:val="000000" w:themeColor="text1"/>
                <w:sz w:val="20"/>
                <w:szCs w:val="20"/>
              </w:rPr>
              <w:t>5 .QMS国家/地方技术监督部门监测（检测、委托检测、定期监测、型式试验等）、抽查结果</w:t>
            </w:r>
          </w:p>
          <w:p>
            <w:pPr>
              <w:spacing w:line="240" w:lineRule="exact"/>
              <w:ind w:firstLine="201" w:firstLineChars="100"/>
              <w:rPr>
                <w:b/>
                <w:color w:val="000000" w:themeColor="text1"/>
                <w:sz w:val="20"/>
                <w:szCs w:val="20"/>
              </w:rPr>
            </w:pPr>
          </w:p>
          <w:p>
            <w:pPr>
              <w:spacing w:line="240" w:lineRule="exact"/>
              <w:ind w:firstLine="211" w:firstLineChars="100"/>
              <w:rPr>
                <w:rFonts w:hint="default" w:ascii="宋体" w:eastAsia="宋体"/>
                <w:b/>
                <w:szCs w:val="21"/>
                <w:lang w:val="en-US" w:eastAsia="zh-CN"/>
              </w:rPr>
            </w:pPr>
            <w:r>
              <w:rPr>
                <w:rFonts w:hint="eastAsia" w:ascii="宋体"/>
                <w:b/>
                <w:szCs w:val="21"/>
              </w:rPr>
              <w:t>检验结果合格。</w:t>
            </w:r>
            <w:r>
              <w:rPr>
                <w:rFonts w:hint="eastAsia" w:ascii="宋体"/>
                <w:b/>
                <w:szCs w:val="21"/>
                <w:lang w:val="en-US" w:eastAsia="zh-CN"/>
              </w:rPr>
              <w:t>缺失部分部分产品第三方检验报告，开具了不符合。</w:t>
            </w:r>
          </w:p>
          <w:p>
            <w:pPr>
              <w:spacing w:line="240" w:lineRule="exact"/>
              <w:ind w:firstLine="201" w:firstLineChars="100"/>
              <w:rPr>
                <w:b/>
                <w:color w:val="000000" w:themeColor="text1"/>
                <w:sz w:val="20"/>
                <w:szCs w:val="20"/>
              </w:rPr>
            </w:pPr>
          </w:p>
          <w:p>
            <w:pPr>
              <w:spacing w:line="240" w:lineRule="exact"/>
              <w:rPr>
                <w:b/>
                <w:color w:val="000000" w:themeColor="text1"/>
                <w:sz w:val="20"/>
                <w:szCs w:val="20"/>
              </w:rPr>
            </w:pPr>
          </w:p>
          <w:p>
            <w:pPr>
              <w:spacing w:line="300" w:lineRule="exact"/>
              <w:ind w:firstLine="197" w:firstLineChars="98"/>
              <w:rPr>
                <w:b/>
                <w:color w:val="000000" w:themeColor="text1"/>
                <w:sz w:val="20"/>
                <w:szCs w:val="20"/>
              </w:rPr>
            </w:pPr>
            <w:r>
              <w:rPr>
                <w:rFonts w:hint="eastAsia"/>
                <w:b/>
                <w:color w:val="000000" w:themeColor="text1"/>
                <w:sz w:val="20"/>
                <w:szCs w:val="20"/>
              </w:rPr>
              <w:t>（附相关证据）：</w:t>
            </w:r>
          </w:p>
          <w:p>
            <w:pPr>
              <w:spacing w:line="300" w:lineRule="exact"/>
              <w:jc w:val="lef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9"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pacing w:val="-8"/>
                <w:sz w:val="20"/>
                <w:szCs w:val="20"/>
              </w:rPr>
            </w:pPr>
            <w:r>
              <w:rPr>
                <w:rFonts w:hint="eastAsia"/>
                <w:b/>
                <w:color w:val="000000" w:themeColor="text1"/>
                <w:sz w:val="20"/>
                <w:szCs w:val="20"/>
              </w:rPr>
              <w:t xml:space="preserve">6. </w:t>
            </w:r>
            <w:r>
              <w:rPr>
                <w:rFonts w:hint="eastAsia"/>
                <w:b/>
                <w:color w:val="000000" w:themeColor="text1"/>
                <w:spacing w:val="-8"/>
                <w:sz w:val="20"/>
                <w:szCs w:val="20"/>
              </w:rPr>
              <w:t>不合格品/项的识别、控制;</w:t>
            </w:r>
          </w:p>
          <w:p>
            <w:pPr>
              <w:spacing w:line="360" w:lineRule="auto"/>
              <w:ind w:firstLine="400" w:firstLineChars="200"/>
              <w:rPr>
                <w:rFonts w:ascii="宋体"/>
                <w:sz w:val="20"/>
                <w:szCs w:val="20"/>
              </w:rPr>
            </w:pPr>
            <w:r>
              <w:rPr>
                <w:rFonts w:hint="eastAsia" w:ascii="宋体" w:hAnsi="宋体"/>
                <w:sz w:val="20"/>
                <w:szCs w:val="20"/>
              </w:rPr>
              <w:t>公司编制《不符合、纠正和预防措施控制程序》，确保对不符合要求的输出进行识别和控制，以防止非预期的使用或交付。各相关部门根据不合格的性质及其对产品和服务符合性的影响采取适当措施，也适用于在产品交付之后，以及在服务提供期间或之后发现的不合格产品和服务。公司通过以下途径处置不合格输出：</w:t>
            </w:r>
          </w:p>
          <w:p>
            <w:pPr>
              <w:numPr>
                <w:ilvl w:val="0"/>
                <w:numId w:val="7"/>
              </w:numPr>
              <w:spacing w:line="360" w:lineRule="auto"/>
              <w:rPr>
                <w:rFonts w:ascii="宋体"/>
                <w:sz w:val="20"/>
                <w:szCs w:val="20"/>
              </w:rPr>
            </w:pPr>
            <w:r>
              <w:rPr>
                <w:rFonts w:hint="eastAsia" w:ascii="宋体" w:hAnsi="宋体"/>
                <w:sz w:val="20"/>
                <w:szCs w:val="20"/>
              </w:rPr>
              <w:t>纠正；</w:t>
            </w:r>
          </w:p>
          <w:p>
            <w:pPr>
              <w:numPr>
                <w:ilvl w:val="0"/>
                <w:numId w:val="7"/>
              </w:numPr>
              <w:spacing w:line="360" w:lineRule="auto"/>
              <w:rPr>
                <w:rFonts w:ascii="宋体"/>
                <w:sz w:val="20"/>
                <w:szCs w:val="20"/>
              </w:rPr>
            </w:pPr>
            <w:r>
              <w:rPr>
                <w:rFonts w:hint="eastAsia" w:ascii="宋体" w:hAnsi="宋体"/>
                <w:sz w:val="20"/>
                <w:szCs w:val="20"/>
              </w:rPr>
              <w:t>隔离、限制、退货或暂停对产品和服务的提供；</w:t>
            </w:r>
          </w:p>
          <w:p>
            <w:pPr>
              <w:numPr>
                <w:ilvl w:val="0"/>
                <w:numId w:val="7"/>
              </w:numPr>
              <w:spacing w:line="360" w:lineRule="auto"/>
              <w:rPr>
                <w:rFonts w:ascii="宋体"/>
                <w:sz w:val="20"/>
                <w:szCs w:val="20"/>
              </w:rPr>
            </w:pPr>
            <w:r>
              <w:rPr>
                <w:rFonts w:hint="eastAsia" w:ascii="宋体" w:hAnsi="宋体"/>
                <w:sz w:val="20"/>
                <w:szCs w:val="20"/>
              </w:rPr>
              <w:t>告知顾客；</w:t>
            </w:r>
          </w:p>
          <w:p>
            <w:pPr>
              <w:numPr>
                <w:ilvl w:val="0"/>
                <w:numId w:val="7"/>
              </w:numPr>
              <w:spacing w:line="360" w:lineRule="auto"/>
              <w:rPr>
                <w:rFonts w:ascii="宋体"/>
                <w:sz w:val="20"/>
                <w:szCs w:val="20"/>
              </w:rPr>
            </w:pPr>
            <w:r>
              <w:rPr>
                <w:rFonts w:hint="eastAsia" w:ascii="宋体" w:hAnsi="宋体"/>
                <w:sz w:val="20"/>
                <w:szCs w:val="20"/>
              </w:rPr>
              <w:t>获得让步接收的授权。</w:t>
            </w:r>
          </w:p>
          <w:p>
            <w:pPr>
              <w:spacing w:line="360" w:lineRule="auto"/>
              <w:ind w:firstLine="400" w:firstLineChars="200"/>
              <w:rPr>
                <w:rFonts w:ascii="宋体"/>
                <w:sz w:val="20"/>
                <w:szCs w:val="20"/>
              </w:rPr>
            </w:pPr>
            <w:r>
              <w:rPr>
                <w:rFonts w:hint="eastAsia" w:ascii="宋体" w:hAnsi="宋体"/>
                <w:sz w:val="20"/>
                <w:szCs w:val="20"/>
              </w:rPr>
              <w:t>质检部负责对不合格输出进行纠正之后的验证，确保其符合要求。</w:t>
            </w:r>
          </w:p>
          <w:p>
            <w:pPr>
              <w:spacing w:line="360" w:lineRule="auto"/>
              <w:ind w:firstLine="400" w:firstLineChars="200"/>
              <w:rPr>
                <w:rFonts w:ascii="宋体"/>
                <w:sz w:val="20"/>
                <w:szCs w:val="20"/>
              </w:rPr>
            </w:pPr>
            <w:r>
              <w:rPr>
                <w:rFonts w:ascii="宋体" w:hAnsi="宋体"/>
                <w:sz w:val="20"/>
                <w:szCs w:val="20"/>
              </w:rPr>
              <w:t>8.7.2</w:t>
            </w:r>
            <w:r>
              <w:rPr>
                <w:rFonts w:hint="eastAsia" w:ascii="宋体" w:hAnsi="宋体"/>
                <w:sz w:val="20"/>
                <w:szCs w:val="20"/>
              </w:rPr>
              <w:t>公司保留下列形成文件的信息，以：</w:t>
            </w:r>
          </w:p>
          <w:p>
            <w:pPr>
              <w:spacing w:line="360" w:lineRule="auto"/>
              <w:ind w:firstLine="400" w:firstLineChars="200"/>
              <w:rPr>
                <w:rFonts w:ascii="宋体"/>
                <w:sz w:val="20"/>
                <w:szCs w:val="20"/>
              </w:rPr>
            </w:pPr>
            <w:r>
              <w:rPr>
                <w:rFonts w:ascii="宋体" w:hAnsi="宋体"/>
                <w:sz w:val="20"/>
                <w:szCs w:val="20"/>
              </w:rPr>
              <w:t>a)</w:t>
            </w:r>
            <w:r>
              <w:rPr>
                <w:rFonts w:hint="eastAsia" w:ascii="宋体" w:hAnsi="宋体"/>
                <w:sz w:val="20"/>
                <w:szCs w:val="20"/>
              </w:rPr>
              <w:t>描述不合格；</w:t>
            </w:r>
          </w:p>
          <w:p>
            <w:pPr>
              <w:spacing w:line="360" w:lineRule="auto"/>
              <w:ind w:firstLine="400" w:firstLineChars="200"/>
              <w:rPr>
                <w:rFonts w:ascii="宋体"/>
                <w:sz w:val="20"/>
                <w:szCs w:val="20"/>
              </w:rPr>
            </w:pPr>
            <w:r>
              <w:rPr>
                <w:rFonts w:ascii="宋体" w:hAnsi="宋体"/>
                <w:sz w:val="20"/>
                <w:szCs w:val="20"/>
              </w:rPr>
              <w:t>b)</w:t>
            </w:r>
            <w:r>
              <w:rPr>
                <w:rFonts w:hint="eastAsia" w:ascii="宋体" w:hAnsi="宋体"/>
                <w:sz w:val="20"/>
                <w:szCs w:val="20"/>
              </w:rPr>
              <w:t>描述所采取的措施；</w:t>
            </w:r>
          </w:p>
          <w:p>
            <w:pPr>
              <w:spacing w:line="360" w:lineRule="auto"/>
              <w:ind w:firstLine="400" w:firstLineChars="200"/>
              <w:rPr>
                <w:rFonts w:ascii="宋体"/>
                <w:sz w:val="20"/>
                <w:szCs w:val="20"/>
              </w:rPr>
            </w:pPr>
            <w:r>
              <w:rPr>
                <w:rFonts w:ascii="宋体" w:hAnsi="宋体"/>
                <w:sz w:val="20"/>
                <w:szCs w:val="20"/>
              </w:rPr>
              <w:t>c)</w:t>
            </w:r>
            <w:r>
              <w:rPr>
                <w:rFonts w:hint="eastAsia" w:ascii="宋体" w:hAnsi="宋体"/>
                <w:sz w:val="20"/>
                <w:szCs w:val="20"/>
              </w:rPr>
              <w:t>描述获得的让步；</w:t>
            </w:r>
          </w:p>
          <w:p>
            <w:pPr>
              <w:spacing w:line="360" w:lineRule="auto"/>
              <w:ind w:firstLine="400" w:firstLineChars="200"/>
              <w:rPr>
                <w:rFonts w:ascii="宋体"/>
                <w:sz w:val="20"/>
                <w:szCs w:val="20"/>
              </w:rPr>
            </w:pPr>
            <w:r>
              <w:rPr>
                <w:rFonts w:ascii="宋体" w:hAnsi="宋体"/>
                <w:sz w:val="20"/>
                <w:szCs w:val="20"/>
              </w:rPr>
              <w:t>d)</w:t>
            </w:r>
            <w:r>
              <w:rPr>
                <w:rFonts w:hint="eastAsia" w:ascii="宋体" w:hAnsi="宋体"/>
                <w:sz w:val="20"/>
                <w:szCs w:val="20"/>
              </w:rPr>
              <w:t>识别处置不合格的授权。</w:t>
            </w:r>
          </w:p>
          <w:p>
            <w:pPr>
              <w:spacing w:line="240" w:lineRule="exac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3"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z w:val="20"/>
                <w:szCs w:val="20"/>
              </w:rPr>
            </w:pPr>
            <w:r>
              <w:rPr>
                <w:rFonts w:hint="eastAsia"/>
                <w:b/>
                <w:color w:val="000000" w:themeColor="text1"/>
                <w:sz w:val="20"/>
                <w:szCs w:val="20"/>
              </w:rPr>
              <w:t>7. EMS组织对重要环境因素实施控制的结果</w:t>
            </w:r>
          </w:p>
          <w:p>
            <w:pPr>
              <w:spacing w:line="240" w:lineRule="exact"/>
              <w:rPr>
                <w:b/>
                <w:color w:val="000000" w:themeColor="text1"/>
                <w:sz w:val="20"/>
                <w:szCs w:val="20"/>
              </w:rPr>
            </w:pPr>
            <w:r>
              <w:rPr>
                <w:rFonts w:hint="eastAsia"/>
                <w:b/>
                <w:color w:val="000000" w:themeColor="text1"/>
                <w:sz w:val="20"/>
                <w:szCs w:val="20"/>
              </w:rPr>
              <w:t>（EMS对重要环境因素控制，重大环境因素对周边环境产生的影响及控制;对相关方施加影响）</w:t>
            </w:r>
          </w:p>
          <w:p>
            <w:pPr>
              <w:spacing w:line="360" w:lineRule="auto"/>
              <w:ind w:firstLine="421"/>
              <w:rPr>
                <w:rFonts w:ascii="楷体" w:hAnsi="楷体" w:eastAsia="楷体" w:cs="宋体"/>
                <w:szCs w:val="21"/>
              </w:rPr>
            </w:pPr>
            <w:r>
              <w:rPr>
                <w:rFonts w:hint="eastAsia" w:ascii="楷体" w:hAnsi="楷体" w:eastAsia="楷体" w:cs="宋体"/>
                <w:szCs w:val="21"/>
              </w:rPr>
              <w:t>编制与环境、安全体系运行控制有关的文件有</w:t>
            </w:r>
            <w:r>
              <w:rPr>
                <w:rFonts w:hint="eastAsia" w:ascii="楷体" w:hAnsi="楷体" w:eastAsia="楷体" w:cs="楷体"/>
                <w:szCs w:val="21"/>
              </w:rPr>
              <w:t>运行控制程序、废弃物控制程序、噪声控制程序、消防控制程序、劳动防护用品控制程序、化学品油品控制程序、资源能源控制程序、应急准备和响应控制程序、化学品储存使用管理办法、生产车间噪声控制作业指导书、生产生活固废垃圾处理</w:t>
            </w:r>
            <w:r>
              <w:rPr>
                <w:rFonts w:ascii="楷体" w:hAnsi="楷体" w:eastAsia="楷体" w:cs="楷体"/>
                <w:szCs w:val="21"/>
              </w:rPr>
              <w:t>/</w:t>
            </w:r>
            <w:r>
              <w:rPr>
                <w:rFonts w:hint="eastAsia" w:ascii="楷体" w:hAnsi="楷体" w:eastAsia="楷体" w:cs="楷体"/>
                <w:szCs w:val="21"/>
              </w:rPr>
              <w:t>利用作业指导书、员工职业健康及劳动保护管理规定、应急预案</w:t>
            </w:r>
            <w:r>
              <w:rPr>
                <w:rFonts w:hint="eastAsia" w:ascii="楷体" w:hAnsi="楷体" w:eastAsia="楷体" w:cs="宋体"/>
                <w:szCs w:val="21"/>
              </w:rPr>
              <w:t>等。</w:t>
            </w:r>
          </w:p>
          <w:p>
            <w:pPr>
              <w:tabs>
                <w:tab w:val="center" w:pos="4535"/>
                <w:tab w:val="left" w:pos="7128"/>
              </w:tabs>
              <w:adjustRightInd w:val="0"/>
              <w:spacing w:line="360" w:lineRule="auto"/>
              <w:textAlignment w:val="baseline"/>
              <w:rPr>
                <w:rFonts w:ascii="楷体" w:hAnsi="楷体" w:eastAsia="楷体" w:cs="宋体"/>
                <w:szCs w:val="21"/>
              </w:rPr>
            </w:pPr>
            <w:r>
              <w:rPr>
                <w:rFonts w:hint="eastAsia" w:ascii="楷体" w:hAnsi="楷体" w:eastAsia="楷体" w:cs="宋体"/>
                <w:szCs w:val="21"/>
              </w:rPr>
              <w:t>一、对噪声达标排放采取措施如下：优化总平面布置，合理布压力机、数控冲床、焊机、切割机等高噪声设备，同时选用低噪声设备，对所用的高噪声设备采用消声、隔声和减震等措施，可有效减低噪声对周围环境的影响。</w:t>
            </w:r>
          </w:p>
          <w:p>
            <w:pPr>
              <w:spacing w:line="400" w:lineRule="exact"/>
              <w:rPr>
                <w:rFonts w:ascii="楷体" w:hAnsi="楷体" w:eastAsia="楷体" w:cs="宋体"/>
                <w:szCs w:val="21"/>
              </w:rPr>
            </w:pPr>
            <w:r>
              <w:rPr>
                <w:rFonts w:hint="eastAsia" w:ascii="楷体" w:hAnsi="楷体" w:eastAsia="楷体" w:cs="宋体"/>
                <w:szCs w:val="21"/>
              </w:rPr>
              <w:t>二、对</w:t>
            </w:r>
            <w:r>
              <w:rPr>
                <w:rFonts w:hint="eastAsia" w:ascii="楷体" w:hAnsi="楷体" w:eastAsia="楷体"/>
                <w:szCs w:val="21"/>
              </w:rPr>
              <w:t>固体废弃物分类处置。</w:t>
            </w:r>
            <w:r>
              <w:rPr>
                <w:rFonts w:hint="eastAsia" w:ascii="楷体" w:hAnsi="楷体" w:eastAsia="楷体" w:cs="宋体"/>
                <w:szCs w:val="21"/>
              </w:rPr>
              <w:t>采取措施如下：</w:t>
            </w:r>
            <w:r>
              <w:rPr>
                <w:rFonts w:hint="eastAsia" w:ascii="楷体" w:hAnsi="楷体" w:eastAsia="楷体"/>
                <w:szCs w:val="21"/>
              </w:rPr>
              <w:t>按：“资源化、减量化、无害化”原则进行分类处理。一般固废主要为废边角料、废金属屑、废焊接头、废脱脂渣、废硅烷剂桶等由生产厂家回收利用，生物质燃料灰渣外运作农肥；危险废物主要为废脱脂液滤渣，定期交有危废处理资质的单位处理，不外排。</w:t>
            </w:r>
          </w:p>
          <w:p>
            <w:pPr>
              <w:tabs>
                <w:tab w:val="center" w:pos="4535"/>
                <w:tab w:val="left" w:pos="7128"/>
              </w:tabs>
              <w:adjustRightInd w:val="0"/>
              <w:spacing w:line="360" w:lineRule="auto"/>
              <w:textAlignment w:val="baseline"/>
              <w:rPr>
                <w:rFonts w:ascii="楷体" w:hAnsi="楷体" w:eastAsia="楷体" w:cs="宋体"/>
                <w:szCs w:val="21"/>
              </w:rPr>
            </w:pPr>
            <w:r>
              <w:rPr>
                <w:rFonts w:hint="eastAsia" w:ascii="楷体" w:hAnsi="楷体" w:eastAsia="楷体" w:cs="宋体"/>
                <w:szCs w:val="21"/>
              </w:rPr>
              <w:t>三、废气污染防治</w:t>
            </w:r>
          </w:p>
          <w:p>
            <w:pPr>
              <w:tabs>
                <w:tab w:val="center" w:pos="4535"/>
                <w:tab w:val="left" w:pos="7128"/>
              </w:tabs>
              <w:adjustRightInd w:val="0"/>
              <w:spacing w:line="360" w:lineRule="auto"/>
              <w:textAlignment w:val="baseline"/>
              <w:rPr>
                <w:rFonts w:ascii="楷体" w:hAnsi="楷体" w:eastAsia="楷体" w:cs="宋体"/>
                <w:szCs w:val="21"/>
              </w:rPr>
            </w:pPr>
            <w:r>
              <w:rPr>
                <w:rFonts w:hint="eastAsia" w:ascii="楷体" w:hAnsi="楷体" w:eastAsia="楷体" w:cs="宋体"/>
                <w:szCs w:val="21"/>
              </w:rPr>
              <w:t>废气主要为焊接烟尘、喷粉室废气、烘干室废气、燃烧废气和食堂油烟。焊接烟尘采用移动式焊接烟尘净化器对焊接烟尘进行处理。</w:t>
            </w:r>
          </w:p>
          <w:p>
            <w:pPr>
              <w:tabs>
                <w:tab w:val="center" w:pos="4535"/>
                <w:tab w:val="left" w:pos="7128"/>
              </w:tabs>
              <w:adjustRightInd w:val="0"/>
              <w:spacing w:line="360" w:lineRule="auto"/>
              <w:textAlignment w:val="baseline"/>
              <w:rPr>
                <w:rFonts w:ascii="楷体" w:hAnsi="楷体" w:eastAsia="楷体" w:cs="宋体"/>
                <w:szCs w:val="21"/>
              </w:rPr>
            </w:pPr>
            <w:r>
              <w:rPr>
                <w:rFonts w:hint="eastAsia" w:ascii="楷体" w:hAnsi="楷体" w:eastAsia="楷体" w:cs="宋体"/>
                <w:szCs w:val="21"/>
              </w:rPr>
              <w:t>喷粉室废气主要污染物为粉尘，采用</w:t>
            </w:r>
            <w:r>
              <w:rPr>
                <w:rFonts w:hint="eastAsia" w:ascii="楷体" w:hAnsi="楷体" w:eastAsia="楷体" w:cs="宋体"/>
                <w:szCs w:val="21"/>
                <w:lang w:val="en-US" w:eastAsia="zh-CN"/>
              </w:rPr>
              <w:t>中央集尘</w:t>
            </w:r>
            <w:r>
              <w:rPr>
                <w:rFonts w:hint="eastAsia" w:ascii="楷体" w:hAnsi="楷体" w:eastAsia="楷体" w:cs="宋体"/>
                <w:szCs w:val="21"/>
              </w:rPr>
              <w:t>装置处理后经1根15米排气筒排放。</w:t>
            </w:r>
          </w:p>
          <w:p>
            <w:pPr>
              <w:tabs>
                <w:tab w:val="center" w:pos="4535"/>
                <w:tab w:val="left" w:pos="7128"/>
              </w:tabs>
              <w:adjustRightInd w:val="0"/>
              <w:spacing w:line="360" w:lineRule="auto"/>
              <w:textAlignment w:val="baseline"/>
              <w:rPr>
                <w:rFonts w:ascii="楷体" w:hAnsi="楷体" w:eastAsia="楷体" w:cs="宋体"/>
                <w:szCs w:val="21"/>
              </w:rPr>
            </w:pPr>
            <w:r>
              <w:rPr>
                <w:rFonts w:hint="eastAsia" w:ascii="楷体" w:hAnsi="楷体" w:eastAsia="楷体" w:cs="宋体"/>
                <w:szCs w:val="21"/>
              </w:rPr>
              <w:t>烘干室废气采用活性炭吸附装置处理后经1根15米排气筒排放。</w:t>
            </w:r>
          </w:p>
          <w:p>
            <w:pPr>
              <w:tabs>
                <w:tab w:val="center" w:pos="4535"/>
                <w:tab w:val="left" w:pos="7128"/>
              </w:tabs>
              <w:adjustRightInd w:val="0"/>
              <w:spacing w:line="360" w:lineRule="auto"/>
              <w:textAlignment w:val="baseline"/>
              <w:rPr>
                <w:rFonts w:ascii="楷体" w:hAnsi="楷体" w:eastAsia="楷体" w:cs="宋体"/>
                <w:szCs w:val="21"/>
              </w:rPr>
            </w:pPr>
            <w:r>
              <w:rPr>
                <w:rFonts w:hint="eastAsia" w:ascii="楷体" w:hAnsi="楷体" w:eastAsia="楷体" w:cs="宋体"/>
                <w:szCs w:val="21"/>
              </w:rPr>
              <w:t>脱水炉和固化炉以生物质为燃烧，废气分别经经1根15米排气筒排放。</w:t>
            </w:r>
          </w:p>
          <w:p>
            <w:pPr>
              <w:tabs>
                <w:tab w:val="center" w:pos="4535"/>
                <w:tab w:val="left" w:pos="7128"/>
              </w:tabs>
              <w:adjustRightInd w:val="0"/>
              <w:spacing w:line="360" w:lineRule="auto"/>
              <w:textAlignment w:val="baseline"/>
              <w:rPr>
                <w:rFonts w:ascii="楷体" w:hAnsi="楷体" w:eastAsia="楷体" w:cs="宋体"/>
                <w:szCs w:val="21"/>
              </w:rPr>
            </w:pPr>
            <w:r>
              <w:rPr>
                <w:rFonts w:hint="eastAsia" w:ascii="楷体" w:hAnsi="楷体" w:eastAsia="楷体" w:cs="宋体"/>
                <w:szCs w:val="21"/>
              </w:rPr>
              <w:t>饮食油烟安装排油烟净化器，烟气经处理后高空排放。</w:t>
            </w:r>
          </w:p>
          <w:p>
            <w:pPr>
              <w:numPr>
                <w:ilvl w:val="0"/>
                <w:numId w:val="8"/>
              </w:numPr>
              <w:tabs>
                <w:tab w:val="center" w:pos="4535"/>
                <w:tab w:val="left" w:pos="7128"/>
              </w:tabs>
              <w:adjustRightInd w:val="0"/>
              <w:spacing w:line="360" w:lineRule="auto"/>
              <w:textAlignment w:val="baseline"/>
              <w:rPr>
                <w:rFonts w:ascii="楷体" w:hAnsi="楷体" w:eastAsia="楷体" w:cs="宋体"/>
                <w:szCs w:val="21"/>
              </w:rPr>
            </w:pPr>
            <w:r>
              <w:rPr>
                <w:rFonts w:hint="eastAsia" w:ascii="楷体" w:hAnsi="楷体" w:eastAsia="楷体" w:cs="宋体"/>
                <w:szCs w:val="21"/>
              </w:rPr>
              <w:t>废水污染防治</w:t>
            </w:r>
          </w:p>
          <w:p>
            <w:pPr>
              <w:tabs>
                <w:tab w:val="center" w:pos="4535"/>
                <w:tab w:val="left" w:pos="7128"/>
              </w:tabs>
              <w:adjustRightInd w:val="0"/>
              <w:spacing w:line="360" w:lineRule="auto"/>
              <w:textAlignment w:val="baseline"/>
              <w:rPr>
                <w:rFonts w:ascii="楷体" w:hAnsi="楷体" w:eastAsia="楷体" w:cs="宋体"/>
                <w:szCs w:val="21"/>
              </w:rPr>
            </w:pPr>
            <w:r>
              <w:rPr>
                <w:rFonts w:hint="eastAsia" w:ascii="楷体" w:hAnsi="楷体" w:eastAsia="楷体" w:cs="宋体"/>
                <w:szCs w:val="21"/>
              </w:rPr>
              <w:t>按“清污分流、雨污分流”原则建厂区排水管网，废水主要为脱脂废水、脱脂水洗废水、、硅烷化废水、及生活污水，生活污水经化粪池处理后外排工业园管网，脱脂等废水经隔油、混凝沉淀后处理与生活废水一并排入生化处理装置中集中处理，达到《污水综合排放标准》（GB8978-1996）表4中一级标准，外排。</w:t>
            </w:r>
          </w:p>
          <w:p>
            <w:pPr>
              <w:jc w:val="left"/>
              <w:rPr>
                <w:rFonts w:ascii="楷体" w:hAnsi="楷体" w:eastAsia="楷体" w:cs="Arial"/>
                <w:bCs/>
                <w:szCs w:val="21"/>
              </w:rPr>
            </w:pPr>
            <w:r>
              <w:rPr>
                <w:rFonts w:hint="eastAsia" w:ascii="楷体" w:hAnsi="楷体" w:eastAsia="楷体" w:cs="宋体"/>
                <w:szCs w:val="21"/>
              </w:rPr>
              <w:t>提供了《</w:t>
            </w:r>
            <w:r>
              <w:rPr>
                <w:rFonts w:hint="eastAsia" w:ascii="楷体" w:hAnsi="楷体" w:eastAsia="楷体"/>
                <w:bCs/>
                <w:szCs w:val="21"/>
              </w:rPr>
              <w:t>环境目标、指标</w:t>
            </w:r>
            <w:r>
              <w:rPr>
                <w:rFonts w:ascii="楷体" w:hAnsi="楷体" w:eastAsia="楷体"/>
                <w:bCs/>
                <w:szCs w:val="21"/>
              </w:rPr>
              <w:t>/</w:t>
            </w:r>
            <w:r>
              <w:rPr>
                <w:rFonts w:hint="eastAsia" w:ascii="楷体" w:hAnsi="楷体" w:eastAsia="楷体"/>
                <w:bCs/>
                <w:szCs w:val="21"/>
              </w:rPr>
              <w:t>职业健康安全目标与管理方案及实施情况一览表</w:t>
            </w:r>
            <w:r>
              <w:rPr>
                <w:rFonts w:hint="eastAsia" w:ascii="楷体" w:hAnsi="楷体" w:eastAsia="楷体" w:cs="宋体"/>
                <w:szCs w:val="21"/>
              </w:rPr>
              <w:t>》，管理方案内容包括如下：环境安全目标、环境安全指标、管理措施、完成时间、责任部门等内容。具有一定的可操作性。</w:t>
            </w:r>
          </w:p>
          <w:p>
            <w:pPr>
              <w:jc w:val="left"/>
              <w:rPr>
                <w:rFonts w:ascii="楷体" w:hAnsi="楷体" w:eastAsia="楷体" w:cs="Arial"/>
                <w:bCs/>
                <w:szCs w:val="21"/>
              </w:rPr>
            </w:pPr>
            <w:r>
              <w:rPr>
                <w:rFonts w:hint="eastAsia" w:ascii="楷体" w:hAnsi="楷体" w:eastAsia="楷体" w:cs="Arial"/>
                <w:bCs/>
                <w:szCs w:val="21"/>
              </w:rPr>
              <w:t>部门运行控制基本符合规定要求。</w:t>
            </w:r>
          </w:p>
          <w:p>
            <w:pPr>
              <w:spacing w:line="240" w:lineRule="exact"/>
              <w:rPr>
                <w:rFonts w:hint="default"/>
                <w:b/>
                <w:color w:val="000000" w:themeColor="text1"/>
                <w:sz w:val="20"/>
                <w:szCs w:val="20"/>
                <w:lang w:val="en-US"/>
              </w:rPr>
            </w:pPr>
            <w:r>
              <w:rPr>
                <w:rFonts w:hint="eastAsia" w:ascii="方正仿宋简体" w:eastAsia="方正仿宋简体"/>
                <w:b/>
                <w:lang w:val="en-US" w:eastAsia="zh-CN"/>
              </w:rPr>
              <w:t>现场审核发现在喷涂流水线旁数桶SZ-362硅烷处理剂不符合堆放存储的要求。开具了不符合。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z w:val="20"/>
                <w:szCs w:val="20"/>
              </w:rPr>
            </w:pPr>
            <w:r>
              <w:rPr>
                <w:rFonts w:hint="eastAsia"/>
                <w:b/>
                <w:color w:val="000000" w:themeColor="text1"/>
                <w:sz w:val="20"/>
                <w:szCs w:val="20"/>
              </w:rPr>
              <w:t>8. OHSMS组织对不可接受风险实施控制的结果</w:t>
            </w:r>
            <w:r>
              <w:rPr>
                <w:rFonts w:hint="eastAsia"/>
                <w:color w:val="000000"/>
                <w:sz w:val="20"/>
              </w:rPr>
              <w:t>（见上：</w:t>
            </w:r>
            <w:r>
              <w:rPr>
                <w:color w:val="000000"/>
                <w:sz w:val="20"/>
              </w:rPr>
              <w:t>7 EMS</w:t>
            </w:r>
            <w:r>
              <w:rPr>
                <w:rFonts w:hint="eastAsia"/>
                <w:color w:val="000000"/>
                <w:sz w:val="20"/>
              </w:rPr>
              <w:t>组织对重要环境因素实施控制的结果）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3"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ind w:left="201" w:hanging="201" w:hangingChars="100"/>
              <w:rPr>
                <w:b/>
                <w:color w:val="000000" w:themeColor="text1"/>
                <w:sz w:val="20"/>
                <w:szCs w:val="20"/>
              </w:rPr>
            </w:pPr>
            <w:r>
              <w:rPr>
                <w:rFonts w:hint="eastAsia"/>
                <w:b/>
                <w:color w:val="000000" w:themeColor="text1"/>
                <w:sz w:val="20"/>
                <w:szCs w:val="20"/>
              </w:rPr>
              <w:t xml:space="preserve">9. 应急准备与相应活动的演练及对预案可行性的评价(当有规定时) </w:t>
            </w:r>
          </w:p>
          <w:p>
            <w:pPr>
              <w:spacing w:line="240" w:lineRule="exact"/>
              <w:rPr>
                <w:b/>
                <w:color w:val="000000" w:themeColor="text1"/>
                <w:spacing w:val="-4"/>
                <w:sz w:val="20"/>
                <w:szCs w:val="20"/>
              </w:rPr>
            </w:pPr>
            <w:r>
              <w:rPr>
                <w:rFonts w:hint="eastAsia"/>
                <w:color w:val="000000"/>
                <w:spacing w:val="-4"/>
                <w:sz w:val="20"/>
                <w:szCs w:val="20"/>
              </w:rPr>
              <w:t>编制了火灾</w:t>
            </w:r>
            <w:r>
              <w:rPr>
                <w:rFonts w:hint="eastAsia"/>
                <w:color w:val="000000"/>
                <w:spacing w:val="-4"/>
                <w:sz w:val="20"/>
                <w:szCs w:val="20"/>
                <w:lang w:eastAsia="zh-CN"/>
              </w:rPr>
              <w:t>、</w:t>
            </w:r>
            <w:r>
              <w:rPr>
                <w:rFonts w:hint="eastAsia"/>
                <w:color w:val="000000"/>
                <w:spacing w:val="-4"/>
                <w:sz w:val="20"/>
                <w:szCs w:val="20"/>
                <w:lang w:val="en-US" w:eastAsia="zh-CN"/>
              </w:rPr>
              <w:t>触电、机械伤害</w:t>
            </w:r>
            <w:r>
              <w:rPr>
                <w:rFonts w:hint="eastAsia"/>
                <w:color w:val="000000"/>
                <w:spacing w:val="-4"/>
                <w:sz w:val="20"/>
                <w:szCs w:val="20"/>
              </w:rPr>
              <w:t>应急救援预案，在</w:t>
            </w:r>
            <w:r>
              <w:rPr>
                <w:color w:val="000000"/>
                <w:spacing w:val="-4"/>
                <w:sz w:val="20"/>
                <w:szCs w:val="20"/>
              </w:rPr>
              <w:t>20</w:t>
            </w:r>
            <w:r>
              <w:rPr>
                <w:rFonts w:hint="eastAsia"/>
                <w:color w:val="000000"/>
                <w:spacing w:val="-4"/>
                <w:sz w:val="20"/>
                <w:szCs w:val="20"/>
                <w:lang w:val="en-US" w:eastAsia="zh-CN"/>
              </w:rPr>
              <w:t>20</w:t>
            </w:r>
            <w:r>
              <w:rPr>
                <w:rFonts w:hint="eastAsia"/>
                <w:color w:val="000000"/>
                <w:spacing w:val="-4"/>
                <w:sz w:val="20"/>
                <w:szCs w:val="20"/>
              </w:rPr>
              <w:t>年月日</w:t>
            </w:r>
            <w:r>
              <w:rPr>
                <w:rFonts w:hint="eastAsia"/>
                <w:color w:val="000000"/>
                <w:spacing w:val="-4"/>
                <w:sz w:val="20"/>
                <w:szCs w:val="20"/>
                <w:lang w:val="en-US" w:eastAsia="zh-CN"/>
              </w:rPr>
              <w:t>3</w:t>
            </w:r>
            <w:r>
              <w:rPr>
                <w:rFonts w:hint="eastAsia"/>
                <w:color w:val="000000"/>
                <w:spacing w:val="-4"/>
                <w:sz w:val="20"/>
                <w:szCs w:val="20"/>
              </w:rPr>
              <w:t>月</w:t>
            </w:r>
            <w:r>
              <w:rPr>
                <w:rFonts w:hint="eastAsia"/>
                <w:color w:val="000000"/>
                <w:spacing w:val="-4"/>
                <w:sz w:val="20"/>
                <w:szCs w:val="20"/>
                <w:lang w:val="en-US" w:eastAsia="zh-CN"/>
              </w:rPr>
              <w:t>23</w:t>
            </w:r>
            <w:r>
              <w:rPr>
                <w:rFonts w:hint="eastAsia"/>
                <w:color w:val="000000"/>
                <w:spacing w:val="-4"/>
                <w:sz w:val="20"/>
                <w:szCs w:val="20"/>
              </w:rPr>
              <w:t>日</w:t>
            </w:r>
            <w:r>
              <w:rPr>
                <w:rFonts w:hint="eastAsia"/>
                <w:color w:val="000000"/>
                <w:spacing w:val="-4"/>
                <w:sz w:val="20"/>
                <w:szCs w:val="20"/>
                <w:lang w:eastAsia="zh-CN"/>
              </w:rPr>
              <w:t>、</w:t>
            </w:r>
            <w:r>
              <w:rPr>
                <w:rFonts w:hint="eastAsia"/>
                <w:color w:val="000000"/>
                <w:spacing w:val="-4"/>
                <w:sz w:val="20"/>
                <w:szCs w:val="20"/>
                <w:lang w:val="en-US" w:eastAsia="zh-CN"/>
              </w:rPr>
              <w:t>2020年5月25日、2020年4月20日</w:t>
            </w:r>
            <w:r>
              <w:rPr>
                <w:rFonts w:hint="eastAsia"/>
                <w:color w:val="000000"/>
                <w:spacing w:val="-4"/>
                <w:sz w:val="20"/>
                <w:szCs w:val="20"/>
              </w:rPr>
              <w:t>进行了</w:t>
            </w:r>
            <w:r>
              <w:rPr>
                <w:rFonts w:hint="eastAsia"/>
                <w:color w:val="000000"/>
                <w:spacing w:val="-4"/>
                <w:sz w:val="20"/>
                <w:szCs w:val="20"/>
                <w:lang w:val="en-US" w:eastAsia="zh-CN"/>
              </w:rPr>
              <w:t>触电、机械伤害和</w:t>
            </w:r>
            <w:r>
              <w:rPr>
                <w:rFonts w:hint="eastAsia"/>
                <w:color w:val="000000"/>
                <w:spacing w:val="-4"/>
                <w:sz w:val="20"/>
                <w:szCs w:val="20"/>
              </w:rPr>
              <w:t>火灾</w:t>
            </w:r>
            <w:r>
              <w:rPr>
                <w:rFonts w:hint="eastAsia" w:ascii="宋体" w:hAnsi="宋体"/>
                <w:szCs w:val="21"/>
              </w:rPr>
              <w:t>应急预案演练，并对有效性做评价。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1"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z w:val="20"/>
                <w:szCs w:val="20"/>
              </w:rPr>
            </w:pPr>
            <w:r>
              <w:rPr>
                <w:rFonts w:hint="eastAsia"/>
                <w:b/>
                <w:color w:val="000000" w:themeColor="text1"/>
                <w:sz w:val="20"/>
                <w:szCs w:val="20"/>
              </w:rPr>
              <w:t xml:space="preserve">10. 对特种设备的维护，检定; </w:t>
            </w:r>
          </w:p>
          <w:p>
            <w:pPr>
              <w:spacing w:line="240" w:lineRule="exact"/>
              <w:rPr>
                <w:b/>
                <w:color w:val="000000" w:themeColor="text1"/>
                <w:sz w:val="20"/>
                <w:szCs w:val="20"/>
              </w:rPr>
            </w:pPr>
          </w:p>
          <w:p>
            <w:pPr>
              <w:spacing w:line="240" w:lineRule="exact"/>
              <w:rPr>
                <w:b/>
                <w:color w:val="000000" w:themeColor="text1"/>
                <w:sz w:val="20"/>
                <w:szCs w:val="20"/>
              </w:rPr>
            </w:pPr>
            <w:r>
              <w:rPr>
                <w:rFonts w:hint="eastAsia" w:ascii="楷体" w:hAnsi="楷体" w:eastAsia="楷体"/>
                <w:color w:val="000000"/>
                <w:szCs w:val="21"/>
              </w:rPr>
              <w:t>提供了桥式起重机</w:t>
            </w:r>
            <w:r>
              <w:rPr>
                <w:rFonts w:hint="eastAsia" w:ascii="楷体" w:hAnsi="楷体" w:eastAsia="楷体"/>
                <w:color w:val="000000"/>
                <w:szCs w:val="21"/>
                <w:lang w:eastAsia="zh-CN"/>
              </w:rPr>
              <w:t>、</w:t>
            </w:r>
            <w:r>
              <w:rPr>
                <w:rFonts w:hint="eastAsia" w:ascii="楷体" w:hAnsi="楷体" w:eastAsia="楷体"/>
                <w:color w:val="000000"/>
                <w:szCs w:val="21"/>
                <w:lang w:val="en-US" w:eastAsia="zh-CN"/>
              </w:rPr>
              <w:t>安全阀和压力表</w:t>
            </w:r>
            <w:r>
              <w:rPr>
                <w:rFonts w:hint="eastAsia" w:ascii="楷体" w:hAnsi="楷体" w:eastAsia="楷体"/>
                <w:color w:val="000000"/>
                <w:szCs w:val="21"/>
              </w:rPr>
              <w:t>检验报告，符合要求。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7"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z w:val="20"/>
                <w:szCs w:val="20"/>
              </w:rPr>
            </w:pPr>
            <w:r>
              <w:rPr>
                <w:rFonts w:hint="eastAsia"/>
                <w:b/>
                <w:color w:val="000000" w:themeColor="text1"/>
                <w:sz w:val="20"/>
                <w:szCs w:val="20"/>
              </w:rPr>
              <w:t>11 .对危险化学品销售、使用、储存、运输处置，规定的执行力度(必要时);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jc w:val="center"/>
        </w:trPr>
        <w:tc>
          <w:tcPr>
            <w:tcW w:w="720" w:type="dxa"/>
            <w:vMerge w:val="restart"/>
            <w:textDirection w:val="tbRlV"/>
            <w:vAlign w:val="center"/>
          </w:tcPr>
          <w:p>
            <w:pPr>
              <w:spacing w:line="240" w:lineRule="exact"/>
              <w:ind w:left="113" w:right="113"/>
              <w:jc w:val="center"/>
              <w:rPr>
                <w:b/>
                <w:color w:val="000000" w:themeColor="text1"/>
                <w:szCs w:val="21"/>
              </w:rPr>
            </w:pPr>
            <w:r>
              <w:rPr>
                <w:rFonts w:hint="eastAsia"/>
                <w:b/>
                <w:color w:val="000000" w:themeColor="text1"/>
                <w:szCs w:val="21"/>
              </w:rPr>
              <w:t>(四)监视测量方面</w:t>
            </w:r>
          </w:p>
        </w:tc>
        <w:tc>
          <w:tcPr>
            <w:tcW w:w="9198" w:type="dxa"/>
          </w:tcPr>
          <w:p>
            <w:pPr>
              <w:spacing w:line="240" w:lineRule="exact"/>
              <w:ind w:left="100" w:hanging="100" w:hangingChars="50"/>
              <w:rPr>
                <w:b/>
                <w:color w:val="000000" w:themeColor="text1"/>
                <w:sz w:val="20"/>
                <w:szCs w:val="20"/>
              </w:rPr>
            </w:pPr>
            <w:r>
              <w:rPr>
                <w:rFonts w:hint="eastAsia"/>
                <w:b/>
                <w:color w:val="000000" w:themeColor="text1"/>
                <w:sz w:val="20"/>
                <w:szCs w:val="20"/>
              </w:rPr>
              <w:t>1. .对质量/环境/职业健康安全目标指标进行定期监测/检查情况</w:t>
            </w:r>
          </w:p>
          <w:p>
            <w:pPr>
              <w:spacing w:line="240" w:lineRule="exact"/>
              <w:ind w:firstLine="100" w:firstLineChars="50"/>
              <w:rPr>
                <w:b/>
                <w:color w:val="000000" w:themeColor="text1"/>
                <w:sz w:val="20"/>
                <w:szCs w:val="20"/>
              </w:rPr>
            </w:pPr>
            <w:r>
              <w:rPr>
                <w:rFonts w:hint="eastAsia"/>
                <w:b/>
                <w:color w:val="000000"/>
                <w:sz w:val="20"/>
                <w:szCs w:val="20"/>
              </w:rPr>
              <w:t>每季度对一体化目标进行定期检查考核，考核部门：行政部、采购部、销售部、生产部、质检部，从检查的情况看，均能完成目标指标。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ind w:left="100" w:hanging="100" w:hangingChars="50"/>
              <w:rPr>
                <w:b/>
                <w:color w:val="000000" w:themeColor="text1"/>
                <w:sz w:val="20"/>
                <w:szCs w:val="20"/>
              </w:rPr>
            </w:pPr>
            <w:r>
              <w:rPr>
                <w:rFonts w:hint="eastAsia"/>
                <w:b/>
                <w:color w:val="000000" w:themeColor="text1"/>
                <w:sz w:val="20"/>
                <w:szCs w:val="20"/>
              </w:rPr>
              <w:t>2.顾客满意</w:t>
            </w:r>
          </w:p>
          <w:p>
            <w:pPr>
              <w:spacing w:line="240" w:lineRule="exact"/>
              <w:ind w:left="100" w:hanging="100" w:hangingChars="50"/>
              <w:rPr>
                <w:b/>
                <w:color w:val="000000" w:themeColor="text1"/>
                <w:sz w:val="20"/>
                <w:szCs w:val="20"/>
              </w:rPr>
            </w:pPr>
          </w:p>
          <w:p>
            <w:pPr>
              <w:spacing w:line="240" w:lineRule="exact"/>
              <w:ind w:left="100" w:hanging="100" w:hangingChars="50"/>
              <w:rPr>
                <w:b/>
                <w:color w:val="000000" w:themeColor="text1"/>
                <w:sz w:val="20"/>
                <w:szCs w:val="20"/>
              </w:rPr>
            </w:pPr>
            <w:r>
              <w:rPr>
                <w:b/>
                <w:color w:val="000000"/>
                <w:sz w:val="20"/>
                <w:szCs w:val="20"/>
              </w:rPr>
              <w:t>20</w:t>
            </w:r>
            <w:r>
              <w:rPr>
                <w:rFonts w:hint="eastAsia"/>
                <w:b/>
                <w:color w:val="000000"/>
                <w:sz w:val="20"/>
                <w:szCs w:val="20"/>
              </w:rPr>
              <w:t>20年</w:t>
            </w:r>
            <w:r>
              <w:rPr>
                <w:rFonts w:hint="eastAsia"/>
                <w:b/>
                <w:color w:val="000000"/>
                <w:sz w:val="20"/>
                <w:szCs w:val="20"/>
                <w:lang w:val="en-US" w:eastAsia="zh-CN"/>
              </w:rPr>
              <w:t>3</w:t>
            </w:r>
            <w:r>
              <w:rPr>
                <w:rFonts w:hint="eastAsia"/>
                <w:b/>
                <w:color w:val="000000"/>
                <w:sz w:val="20"/>
                <w:szCs w:val="20"/>
              </w:rPr>
              <w:t>月1</w:t>
            </w:r>
            <w:r>
              <w:rPr>
                <w:rFonts w:hint="eastAsia"/>
                <w:b/>
                <w:color w:val="000000"/>
                <w:sz w:val="20"/>
                <w:szCs w:val="20"/>
                <w:lang w:val="en-US" w:eastAsia="zh-CN"/>
              </w:rPr>
              <w:t>6</w:t>
            </w:r>
            <w:r>
              <w:rPr>
                <w:rFonts w:hint="eastAsia"/>
                <w:b/>
                <w:color w:val="000000"/>
                <w:sz w:val="20"/>
                <w:szCs w:val="20"/>
              </w:rPr>
              <w:t>日——</w:t>
            </w:r>
            <w:r>
              <w:rPr>
                <w:rFonts w:hint="eastAsia"/>
                <w:b/>
                <w:color w:val="000000"/>
                <w:sz w:val="20"/>
                <w:szCs w:val="20"/>
                <w:lang w:val="en-US" w:eastAsia="zh-CN"/>
              </w:rPr>
              <w:t>4月1日</w:t>
            </w:r>
            <w:r>
              <w:rPr>
                <w:rFonts w:hint="eastAsia"/>
                <w:b/>
                <w:color w:val="000000"/>
                <w:sz w:val="20"/>
                <w:szCs w:val="20"/>
              </w:rPr>
              <w:t>共发出顾客满意度调查表10份，回收10份，顾客名称：</w:t>
            </w:r>
            <w:r>
              <w:rPr>
                <w:rFonts w:hint="eastAsia" w:ascii="宋体" w:hAnsi="宋体" w:eastAsia="宋体" w:cs="宋体"/>
                <w:b/>
                <w:bCs/>
                <w:sz w:val="21"/>
                <w:szCs w:val="21"/>
                <w:lang w:eastAsia="zh-CN"/>
              </w:rPr>
              <w:t>聂进良</w:t>
            </w:r>
            <w:r>
              <w:rPr>
                <w:rFonts w:hint="eastAsia" w:ascii="宋体" w:hAnsi="宋体" w:cs="宋体"/>
                <w:b/>
                <w:bCs/>
                <w:sz w:val="21"/>
                <w:szCs w:val="21"/>
              </w:rPr>
              <w:t>、</w:t>
            </w:r>
            <w:r>
              <w:rPr>
                <w:rFonts w:hint="eastAsia" w:ascii="宋体" w:hAnsi="宋体" w:eastAsia="宋体" w:cs="宋体"/>
                <w:b/>
                <w:bCs/>
                <w:sz w:val="21"/>
                <w:szCs w:val="21"/>
                <w:lang w:eastAsia="zh-CN"/>
              </w:rPr>
              <w:t>聂进凤</w:t>
            </w:r>
            <w:r>
              <w:rPr>
                <w:rFonts w:hint="eastAsia" w:ascii="宋体" w:hAnsi="宋体" w:cs="宋体"/>
                <w:b/>
                <w:bCs/>
                <w:sz w:val="21"/>
                <w:szCs w:val="21"/>
              </w:rPr>
              <w:t>、</w:t>
            </w:r>
            <w:r>
              <w:rPr>
                <w:rFonts w:hint="eastAsia" w:ascii="宋体" w:hAnsi="宋体" w:eastAsia="宋体" w:cs="宋体"/>
                <w:b/>
                <w:bCs/>
                <w:sz w:val="21"/>
                <w:szCs w:val="21"/>
                <w:lang w:eastAsia="zh-CN"/>
              </w:rPr>
              <w:t>彭小雄</w:t>
            </w:r>
            <w:r>
              <w:rPr>
                <w:rFonts w:hint="eastAsia"/>
                <w:b/>
                <w:bCs/>
                <w:sz w:val="21"/>
                <w:szCs w:val="21"/>
                <w:lang w:eastAsia="zh-CN"/>
              </w:rPr>
              <w:t>、</w:t>
            </w:r>
            <w:r>
              <w:rPr>
                <w:rFonts w:hint="eastAsia" w:ascii="宋体" w:hAnsi="宋体" w:eastAsia="宋体" w:cs="宋体"/>
                <w:b/>
                <w:bCs/>
                <w:sz w:val="21"/>
                <w:szCs w:val="21"/>
                <w:lang w:eastAsia="zh-CN"/>
              </w:rPr>
              <w:t>彭磊</w:t>
            </w:r>
            <w:r>
              <w:rPr>
                <w:rFonts w:hint="eastAsia"/>
                <w:b/>
                <w:bCs/>
                <w:sz w:val="21"/>
                <w:szCs w:val="21"/>
                <w:lang w:eastAsia="zh-CN"/>
              </w:rPr>
              <w:t>、</w:t>
            </w:r>
            <w:r>
              <w:rPr>
                <w:rFonts w:hint="eastAsia" w:ascii="宋体" w:hAnsi="宋体" w:eastAsia="宋体" w:cs="宋体"/>
                <w:b/>
                <w:bCs/>
                <w:sz w:val="21"/>
                <w:szCs w:val="21"/>
                <w:lang w:eastAsia="zh-CN"/>
              </w:rPr>
              <w:t>熊建斌</w:t>
            </w:r>
            <w:r>
              <w:rPr>
                <w:rFonts w:hint="eastAsia"/>
                <w:b/>
                <w:bCs/>
                <w:sz w:val="21"/>
                <w:szCs w:val="21"/>
              </w:rPr>
              <w:t>等</w:t>
            </w:r>
            <w:r>
              <w:rPr>
                <w:rFonts w:hint="eastAsia"/>
                <w:b/>
                <w:color w:val="000000"/>
                <w:szCs w:val="21"/>
              </w:rPr>
              <w:t>，得分为97分。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7" w:hRule="atLeast"/>
          <w:jc w:val="center"/>
        </w:trPr>
        <w:tc>
          <w:tcPr>
            <w:tcW w:w="720" w:type="dxa"/>
            <w:vMerge w:val="continue"/>
            <w:textDirection w:val="tbRlV"/>
            <w:vAlign w:val="center"/>
          </w:tcPr>
          <w:p>
            <w:pPr>
              <w:spacing w:line="240" w:lineRule="exact"/>
              <w:ind w:left="201" w:right="113" w:hanging="201" w:hangingChars="100"/>
              <w:jc w:val="center"/>
              <w:rPr>
                <w:b/>
                <w:color w:val="000000" w:themeColor="text1"/>
                <w:sz w:val="20"/>
              </w:rPr>
            </w:pPr>
          </w:p>
        </w:tc>
        <w:tc>
          <w:tcPr>
            <w:tcW w:w="9198" w:type="dxa"/>
          </w:tcPr>
          <w:p>
            <w:pPr>
              <w:spacing w:line="240" w:lineRule="exact"/>
              <w:rPr>
                <w:b/>
                <w:color w:val="000000" w:themeColor="text1"/>
                <w:sz w:val="20"/>
                <w:szCs w:val="20"/>
              </w:rPr>
            </w:pPr>
            <w:r>
              <w:rPr>
                <w:rFonts w:hint="eastAsia"/>
                <w:b/>
                <w:color w:val="000000" w:themeColor="text1"/>
                <w:sz w:val="20"/>
                <w:szCs w:val="20"/>
              </w:rPr>
              <w:t>3. 内审（包括内审策划审核方案中考虑拟审核的过程和区域的状况和重要性）</w:t>
            </w:r>
          </w:p>
          <w:p>
            <w:pPr>
              <w:spacing w:line="240" w:lineRule="exact"/>
              <w:rPr>
                <w:b/>
                <w:color w:val="000000" w:themeColor="text1"/>
                <w:spacing w:val="-8"/>
                <w:sz w:val="20"/>
                <w:szCs w:val="20"/>
              </w:rPr>
            </w:pPr>
          </w:p>
          <w:p>
            <w:pPr>
              <w:spacing w:line="240" w:lineRule="exact"/>
              <w:rPr>
                <w:b/>
                <w:color w:val="000000" w:themeColor="text1"/>
                <w:sz w:val="20"/>
                <w:szCs w:val="20"/>
              </w:rPr>
            </w:pPr>
            <w:r>
              <w:rPr>
                <w:rFonts w:hint="eastAsia"/>
                <w:b/>
                <w:color w:val="000000" w:themeColor="text1"/>
                <w:sz w:val="20"/>
                <w:szCs w:val="20"/>
              </w:rPr>
              <w:t>本年度内审已按计划实施，内审策划审核方案中考虑了拟审核的过程和区域的状况和重要性，内审结论：体系运行有效。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6" w:hRule="atLeast"/>
          <w:jc w:val="center"/>
        </w:trPr>
        <w:tc>
          <w:tcPr>
            <w:tcW w:w="720" w:type="dxa"/>
            <w:vMerge w:val="continue"/>
            <w:textDirection w:val="tbRlV"/>
            <w:vAlign w:val="center"/>
          </w:tcPr>
          <w:p>
            <w:pPr>
              <w:spacing w:line="240" w:lineRule="exact"/>
              <w:ind w:left="201" w:right="113" w:hanging="201" w:hangingChars="100"/>
              <w:jc w:val="center"/>
              <w:rPr>
                <w:b/>
                <w:color w:val="000000" w:themeColor="text1"/>
                <w:sz w:val="20"/>
              </w:rPr>
            </w:pPr>
          </w:p>
        </w:tc>
        <w:tc>
          <w:tcPr>
            <w:tcW w:w="9198" w:type="dxa"/>
          </w:tcPr>
          <w:p>
            <w:pPr>
              <w:spacing w:line="240" w:lineRule="exact"/>
              <w:rPr>
                <w:b/>
                <w:color w:val="000000" w:themeColor="text1"/>
                <w:sz w:val="20"/>
                <w:szCs w:val="20"/>
              </w:rPr>
            </w:pPr>
            <w:r>
              <w:rPr>
                <w:rFonts w:hint="eastAsia"/>
                <w:b/>
                <w:color w:val="000000" w:themeColor="text1"/>
                <w:sz w:val="20"/>
                <w:szCs w:val="20"/>
              </w:rPr>
              <w:t>4.管理评审（管理评审体系变更需求，纠正和预防措施、体系有效性等）</w:t>
            </w:r>
          </w:p>
          <w:p>
            <w:pPr>
              <w:spacing w:line="240" w:lineRule="exact"/>
              <w:rPr>
                <w:b/>
                <w:color w:val="000000" w:themeColor="text1"/>
                <w:sz w:val="20"/>
                <w:szCs w:val="20"/>
              </w:rPr>
            </w:pPr>
            <w:r>
              <w:rPr>
                <w:rFonts w:hint="eastAsia"/>
                <w:szCs w:val="21"/>
              </w:rPr>
              <w:t>本年度管理评审已按计划实施，管理评审考虑了体系变更需求，制定了纠正或预防措施，体系运行基本有效。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240" w:lineRule="exact"/>
              <w:rPr>
                <w:b/>
                <w:color w:val="000000" w:themeColor="text1"/>
                <w:sz w:val="20"/>
                <w:szCs w:val="20"/>
              </w:rPr>
            </w:pPr>
            <w:r>
              <w:rPr>
                <w:rFonts w:hint="eastAsia"/>
                <w:b/>
                <w:color w:val="000000" w:themeColor="text1"/>
                <w:sz w:val="20"/>
                <w:szCs w:val="20"/>
              </w:rPr>
              <w:t>5.  EMS是否按规定对主要污染物（污水、废气、噪声、废渣等）及排放实施了例行的监视或测量，结果是否满足相关要求？</w:t>
            </w:r>
          </w:p>
          <w:p>
            <w:pPr>
              <w:spacing w:line="240" w:lineRule="exact"/>
              <w:rPr>
                <w:rFonts w:ascii="宋体"/>
                <w:b/>
                <w:szCs w:val="21"/>
              </w:rPr>
            </w:pPr>
            <w:r>
              <w:rPr>
                <w:rFonts w:hint="eastAsia" w:ascii="宋体" w:hAnsi="宋体"/>
                <w:b/>
                <w:szCs w:val="21"/>
              </w:rPr>
              <w:t>对三废进行了监视和测量，结果符合要求。</w:t>
            </w:r>
          </w:p>
          <w:p>
            <w:pPr>
              <w:spacing w:line="240" w:lineRule="exac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6"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240" w:lineRule="exact"/>
              <w:rPr>
                <w:b/>
                <w:color w:val="000000" w:themeColor="text1"/>
                <w:sz w:val="20"/>
                <w:szCs w:val="20"/>
              </w:rPr>
            </w:pPr>
            <w:r>
              <w:rPr>
                <w:rFonts w:hint="eastAsia"/>
                <w:b/>
                <w:color w:val="000000" w:themeColor="text1"/>
                <w:sz w:val="20"/>
                <w:szCs w:val="20"/>
              </w:rPr>
              <w:t xml:space="preserve">6.  </w:t>
            </w:r>
            <w:r>
              <w:rPr>
                <w:b/>
                <w:color w:val="000000" w:themeColor="text1"/>
                <w:sz w:val="20"/>
                <w:szCs w:val="20"/>
              </w:rPr>
              <w:t>EMS</w:t>
            </w:r>
            <w:r>
              <w:rPr>
                <w:rFonts w:hint="eastAsia"/>
                <w:b/>
                <w:color w:val="000000" w:themeColor="text1"/>
                <w:sz w:val="20"/>
                <w:szCs w:val="20"/>
              </w:rPr>
              <w:t>国家/地方环保部门监测结果、新改扩建项目符合环评报告、三同时验收报告要求情况及措施</w:t>
            </w:r>
          </w:p>
          <w:p>
            <w:pPr>
              <w:spacing w:line="240" w:lineRule="exact"/>
              <w:rPr>
                <w:b/>
                <w:color w:val="000000" w:themeColor="text1"/>
                <w:sz w:val="20"/>
                <w:szCs w:val="20"/>
              </w:rPr>
            </w:pPr>
          </w:p>
          <w:p>
            <w:pPr>
              <w:spacing w:line="240" w:lineRule="exact"/>
              <w:rPr>
                <w:b/>
                <w:color w:val="000000" w:themeColor="text1"/>
                <w:sz w:val="20"/>
                <w:szCs w:val="20"/>
              </w:rPr>
            </w:pPr>
            <w:r>
              <w:rPr>
                <w:rFonts w:hint="eastAsia" w:ascii="宋体"/>
                <w:b/>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b/>
                <w:color w:val="000000" w:themeColor="text1"/>
                <w:sz w:val="20"/>
                <w:szCs w:val="20"/>
              </w:rPr>
            </w:pPr>
            <w:r>
              <w:rPr>
                <w:rFonts w:hint="eastAsia"/>
                <w:b/>
                <w:color w:val="000000" w:themeColor="text1"/>
                <w:sz w:val="20"/>
                <w:szCs w:val="20"/>
              </w:rPr>
              <w:t>7. OHSMS是否按规定对职业健康安全项目进行定期测量，结果是否满足相关要求：</w:t>
            </w:r>
          </w:p>
          <w:p>
            <w:pPr>
              <w:spacing w:line="300" w:lineRule="exact"/>
              <w:rPr>
                <w:b/>
                <w:color w:val="000000" w:themeColor="text1"/>
                <w:sz w:val="20"/>
                <w:szCs w:val="20"/>
              </w:rPr>
            </w:pPr>
          </w:p>
          <w:p>
            <w:pPr>
              <w:spacing w:line="300" w:lineRule="exact"/>
              <w:rPr>
                <w:rFonts w:ascii="宋体"/>
                <w:b/>
                <w:szCs w:val="21"/>
              </w:rPr>
            </w:pPr>
            <w:r>
              <w:rPr>
                <w:rFonts w:hint="eastAsia" w:ascii="宋体"/>
                <w:b/>
                <w:szCs w:val="21"/>
              </w:rPr>
              <w:t>无需进行定期测量。</w:t>
            </w:r>
          </w:p>
          <w:p>
            <w:pPr>
              <w:spacing w:line="240" w:lineRule="exac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4"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240" w:lineRule="exact"/>
              <w:rPr>
                <w:b/>
                <w:color w:val="000000" w:themeColor="text1"/>
                <w:sz w:val="20"/>
                <w:szCs w:val="20"/>
              </w:rPr>
            </w:pPr>
            <w:r>
              <w:rPr>
                <w:rFonts w:hint="eastAsia"/>
                <w:b/>
                <w:color w:val="000000" w:themeColor="text1"/>
                <w:sz w:val="20"/>
                <w:szCs w:val="20"/>
              </w:rPr>
              <w:t>8.OHSMS国家/地方职业健康安全部门监督检查情况及措施</w:t>
            </w:r>
          </w:p>
          <w:p>
            <w:pPr>
              <w:spacing w:line="240" w:lineRule="exact"/>
              <w:rPr>
                <w:b/>
                <w:color w:val="000000" w:themeColor="text1"/>
                <w:sz w:val="20"/>
                <w:szCs w:val="20"/>
              </w:rPr>
            </w:pPr>
            <w:r>
              <w:rPr>
                <w:rFonts w:hint="eastAsia" w:ascii="宋体"/>
                <w:b/>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720" w:type="dxa"/>
            <w:vMerge w:val="continue"/>
            <w:tcBorders>
              <w:bottom w:val="single" w:color="auto" w:sz="4" w:space="0"/>
            </w:tcBorders>
            <w:vAlign w:val="center"/>
          </w:tcPr>
          <w:p>
            <w:pPr>
              <w:spacing w:line="240" w:lineRule="exact"/>
              <w:jc w:val="center"/>
              <w:rPr>
                <w:b/>
                <w:color w:val="000000" w:themeColor="text1"/>
                <w:sz w:val="20"/>
              </w:rPr>
            </w:pPr>
          </w:p>
        </w:tc>
        <w:tc>
          <w:tcPr>
            <w:tcW w:w="9198" w:type="dxa"/>
            <w:tcBorders>
              <w:bottom w:val="single" w:color="auto" w:sz="4" w:space="0"/>
            </w:tcBorders>
          </w:tcPr>
          <w:p>
            <w:pPr>
              <w:widowControl/>
              <w:spacing w:line="240" w:lineRule="exact"/>
              <w:rPr>
                <w:b/>
                <w:color w:val="000000" w:themeColor="text1"/>
                <w:sz w:val="20"/>
                <w:szCs w:val="20"/>
              </w:rPr>
            </w:pPr>
            <w:r>
              <w:rPr>
                <w:rFonts w:hint="eastAsia"/>
                <w:b/>
                <w:color w:val="000000" w:themeColor="text1"/>
                <w:sz w:val="20"/>
                <w:szCs w:val="20"/>
              </w:rPr>
              <w:t>9. 其他能够标明组织绩效、信誉的证据/信息：</w:t>
            </w:r>
            <w:r>
              <w:rPr>
                <w:rFonts w:hint="eastAsia" w:ascii="宋体"/>
                <w:b/>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0" w:hRule="atLeast"/>
          <w:jc w:val="center"/>
        </w:trPr>
        <w:tc>
          <w:tcPr>
            <w:tcW w:w="720" w:type="dxa"/>
            <w:vMerge w:val="restart"/>
            <w:vAlign w:val="center"/>
          </w:tcPr>
          <w:p>
            <w:pPr>
              <w:spacing w:line="240" w:lineRule="exact"/>
              <w:ind w:left="113"/>
              <w:jc w:val="center"/>
              <w:rPr>
                <w:b/>
                <w:color w:val="000000" w:themeColor="text1"/>
                <w:sz w:val="20"/>
              </w:rPr>
            </w:pPr>
            <w:r>
              <w:rPr>
                <w:rFonts w:hint="eastAsia"/>
                <w:b/>
                <w:color w:val="000000" w:themeColor="text1"/>
                <w:sz w:val="20"/>
              </w:rPr>
              <w:t>(五)持续改进</w:t>
            </w:r>
          </w:p>
        </w:tc>
        <w:tc>
          <w:tcPr>
            <w:tcW w:w="9198" w:type="dxa"/>
            <w:tcBorders>
              <w:top w:val="single" w:color="auto" w:sz="4" w:space="0"/>
              <w:left w:val="single" w:color="auto" w:sz="4" w:space="0"/>
              <w:bottom w:val="single" w:color="auto" w:sz="4" w:space="0"/>
              <w:right w:val="single" w:color="auto" w:sz="4" w:space="0"/>
            </w:tcBorders>
          </w:tcPr>
          <w:p>
            <w:pPr>
              <w:spacing w:line="240" w:lineRule="exact"/>
              <w:rPr>
                <w:b/>
                <w:color w:val="000000" w:themeColor="text1"/>
                <w:sz w:val="20"/>
                <w:szCs w:val="20"/>
              </w:rPr>
            </w:pPr>
            <w:r>
              <w:rPr>
                <w:rFonts w:hint="eastAsia"/>
                <w:b/>
                <w:color w:val="000000" w:themeColor="text1"/>
                <w:sz w:val="20"/>
                <w:szCs w:val="20"/>
              </w:rPr>
              <w:t>1 纠正/预防措施的实施及效果</w:t>
            </w:r>
            <w:r>
              <w:rPr>
                <w:rFonts w:hint="eastAsia"/>
                <w:b/>
                <w:color w:val="000000" w:themeColor="text1"/>
                <w:spacing w:val="-8"/>
                <w:sz w:val="20"/>
                <w:szCs w:val="20"/>
              </w:rPr>
              <w:t>;</w:t>
            </w:r>
          </w:p>
          <w:p>
            <w:pPr>
              <w:spacing w:line="240" w:lineRule="exact"/>
              <w:rPr>
                <w:b/>
                <w:color w:val="000000" w:themeColor="text1"/>
                <w:sz w:val="20"/>
                <w:szCs w:val="20"/>
              </w:rPr>
            </w:pPr>
            <w:r>
              <w:rPr>
                <w:rFonts w:hint="eastAsia"/>
                <w:bCs/>
                <w:szCs w:val="21"/>
              </w:rPr>
              <w:t>对发现的不合格产品和服务进行了分析、制定了纠正措施，进行了整改，对整改效果进行了追踪验证，结论合格，对不合格品可以进行有效控制。对内审中发现的不合格已制定纠正措施。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op w:val="single" w:color="auto" w:sz="4" w:space="0"/>
              <w:left w:val="single" w:color="auto" w:sz="4" w:space="0"/>
              <w:bottom w:val="single" w:color="auto" w:sz="4" w:space="0"/>
              <w:right w:val="single" w:color="auto" w:sz="4" w:space="0"/>
            </w:tcBorders>
          </w:tcPr>
          <w:p>
            <w:pPr>
              <w:spacing w:line="240" w:lineRule="exact"/>
              <w:rPr>
                <w:b/>
                <w:color w:val="000000" w:themeColor="text1"/>
                <w:spacing w:val="-20"/>
                <w:sz w:val="20"/>
                <w:szCs w:val="20"/>
              </w:rPr>
            </w:pPr>
            <w:r>
              <w:rPr>
                <w:rFonts w:hint="eastAsia"/>
                <w:b/>
                <w:color w:val="000000" w:themeColor="text1"/>
                <w:spacing w:val="-20"/>
                <w:sz w:val="20"/>
                <w:szCs w:val="20"/>
              </w:rPr>
              <w:t>2（近一年）重大事故、顾客/相关方投诉：：</w:t>
            </w:r>
          </w:p>
          <w:p>
            <w:pPr>
              <w:spacing w:line="240" w:lineRule="exact"/>
              <w:rPr>
                <w:b/>
                <w:color w:val="000000" w:themeColor="text1"/>
                <w:spacing w:val="-20"/>
                <w:sz w:val="20"/>
                <w:szCs w:val="20"/>
              </w:rPr>
            </w:pPr>
            <w:r>
              <w:rPr>
                <w:b/>
                <w:color w:val="000000" w:themeColor="text1"/>
                <w:spacing w:val="-20"/>
                <w:sz w:val="20"/>
                <w:szCs w:val="20"/>
              </w:rPr>
              <w:t>无</w:t>
            </w:r>
          </w:p>
          <w:p>
            <w:pPr>
              <w:spacing w:line="240" w:lineRule="exac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op w:val="single" w:color="auto" w:sz="4" w:space="0"/>
              <w:left w:val="single" w:color="auto" w:sz="4" w:space="0"/>
              <w:bottom w:val="single" w:color="auto" w:sz="4" w:space="0"/>
              <w:right w:val="single" w:color="auto" w:sz="4" w:space="0"/>
            </w:tcBorders>
          </w:tcPr>
          <w:p>
            <w:pPr>
              <w:spacing w:line="240" w:lineRule="exact"/>
              <w:rPr>
                <w:b/>
                <w:color w:val="000000" w:themeColor="text1"/>
                <w:sz w:val="20"/>
                <w:szCs w:val="20"/>
              </w:rPr>
            </w:pPr>
            <w:r>
              <w:rPr>
                <w:rFonts w:hint="eastAsia"/>
                <w:b/>
                <w:color w:val="000000" w:themeColor="text1"/>
                <w:sz w:val="20"/>
                <w:szCs w:val="20"/>
              </w:rPr>
              <w:t>3. 一阶段提出问题的整改情况?</w:t>
            </w:r>
          </w:p>
          <w:p>
            <w:pPr>
              <w:spacing w:line="240" w:lineRule="exact"/>
              <w:rPr>
                <w:b/>
                <w:color w:val="000000" w:themeColor="text1"/>
                <w:spacing w:val="-20"/>
                <w:sz w:val="20"/>
                <w:szCs w:val="20"/>
              </w:rPr>
            </w:pPr>
            <w:r>
              <w:rPr>
                <w:rFonts w:hint="eastAsia"/>
                <w:b/>
                <w:color w:val="000000"/>
                <w:spacing w:val="-20"/>
                <w:sz w:val="20"/>
                <w:szCs w:val="20"/>
              </w:rPr>
              <w:t>已经整改完结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op w:val="single" w:color="auto" w:sz="4" w:space="0"/>
              <w:left w:val="single" w:color="auto" w:sz="4" w:space="0"/>
              <w:bottom w:val="single" w:color="auto" w:sz="4" w:space="0"/>
              <w:right w:val="single" w:color="auto" w:sz="4" w:space="0"/>
            </w:tcBorders>
          </w:tcPr>
          <w:p>
            <w:pPr>
              <w:spacing w:line="240" w:lineRule="exact"/>
              <w:rPr>
                <w:b/>
                <w:color w:val="000000" w:themeColor="text1"/>
                <w:sz w:val="20"/>
                <w:szCs w:val="20"/>
              </w:rPr>
            </w:pPr>
            <w:r>
              <w:rPr>
                <w:rFonts w:hint="eastAsia"/>
                <w:b/>
                <w:color w:val="000000" w:themeColor="text1"/>
                <w:sz w:val="20"/>
                <w:szCs w:val="20"/>
              </w:rPr>
              <w:t xml:space="preserve">4.创新情况 </w:t>
            </w:r>
            <w:r>
              <w:rPr>
                <w:rFonts w:hint="eastAsia"/>
                <w:bCs/>
                <w:szCs w:val="21"/>
              </w:rPr>
              <w:t>体系运行至今无创新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op w:val="single" w:color="auto" w:sz="4" w:space="0"/>
              <w:left w:val="single" w:color="auto" w:sz="4" w:space="0"/>
              <w:bottom w:val="single" w:color="auto" w:sz="4" w:space="0"/>
              <w:right w:val="single" w:color="auto" w:sz="4" w:space="0"/>
            </w:tcBorders>
          </w:tcPr>
          <w:p>
            <w:pPr>
              <w:spacing w:line="240" w:lineRule="exact"/>
              <w:rPr>
                <w:b/>
                <w:color w:val="000000" w:themeColor="text1"/>
                <w:szCs w:val="21"/>
              </w:rPr>
            </w:pPr>
            <w:r>
              <w:rPr>
                <w:rFonts w:hint="eastAsia"/>
                <w:b/>
                <w:color w:val="000000" w:themeColor="text1"/>
                <w:szCs w:val="21"/>
              </w:rPr>
              <w:t>5. 上次不符合的整改情况（再认证填写）</w:t>
            </w:r>
          </w:p>
        </w:tc>
      </w:tr>
    </w:tbl>
    <w:p>
      <w:pPr>
        <w:spacing w:line="300" w:lineRule="exact"/>
        <w:rPr>
          <w:b/>
          <w:color w:val="000000" w:themeColor="text1"/>
          <w:sz w:val="26"/>
          <w:szCs w:val="26"/>
        </w:rPr>
      </w:pPr>
    </w:p>
    <w:p>
      <w:pPr>
        <w:spacing w:line="360" w:lineRule="auto"/>
        <w:ind w:left="1" w:leftChars="-472" w:hanging="992" w:hangingChars="380"/>
        <w:rPr>
          <w:b/>
          <w:color w:val="000000" w:themeColor="text1"/>
          <w:sz w:val="20"/>
        </w:rPr>
      </w:pPr>
      <w:r>
        <w:rPr>
          <w:rFonts w:hint="eastAsia"/>
          <w:b/>
          <w:color w:val="000000" w:themeColor="text1"/>
          <w:sz w:val="26"/>
          <w:szCs w:val="26"/>
        </w:rPr>
        <w:t>七、本次审核不符合项</w:t>
      </w:r>
    </w:p>
    <w:p>
      <w:pPr>
        <w:tabs>
          <w:tab w:val="left" w:pos="9072"/>
        </w:tabs>
        <w:spacing w:line="360" w:lineRule="auto"/>
        <w:ind w:left="-993" w:leftChars="-473" w:firstLine="2"/>
        <w:rPr>
          <w:b/>
          <w:color w:val="000000" w:themeColor="text1"/>
        </w:rPr>
      </w:pPr>
      <w:r>
        <w:rPr>
          <w:rFonts w:hint="eastAsia"/>
          <w:b/>
          <w:color w:val="000000" w:themeColor="text1"/>
        </w:rPr>
        <w:t>1. 本次审核共开具不符合项报告</w:t>
      </w:r>
      <w:r>
        <w:rPr>
          <w:rFonts w:hint="eastAsia"/>
          <w:b/>
          <w:color w:val="000000" w:themeColor="text1"/>
          <w:lang w:val="en-US" w:eastAsia="zh-CN"/>
        </w:rPr>
        <w:t>3</w:t>
      </w:r>
      <w:r>
        <w:rPr>
          <w:rFonts w:hint="eastAsia"/>
          <w:b/>
          <w:color w:val="000000" w:themeColor="text1"/>
        </w:rPr>
        <w:t>项；其中</w:t>
      </w:r>
      <w:r>
        <w:rPr>
          <w:b/>
          <w:color w:val="000000" w:themeColor="text1"/>
        </w:rPr>
        <w:pict>
          <v:line id="直接连接符 1" o:spid="_x0000_s2052" o:spt="20" style="position:absolute;left:0pt;margin-left:210pt;margin-top:16.2pt;height:0pt;width:0pt;z-index:251658240;mso-width-relative:page;mso-height-relative:page;" coordsize="21600,21600" o:allowincell="f">
            <v:path arrowok="t"/>
            <v:fill focussize="0,0"/>
            <v:stroke/>
            <v:imagedata o:title=""/>
            <o:lock v:ext="edit"/>
          </v:line>
        </w:pict>
      </w:r>
      <w:r>
        <w:rPr>
          <w:rFonts w:hint="eastAsia"/>
          <w:b/>
          <w:color w:val="000000" w:themeColor="text1"/>
        </w:rPr>
        <w:t>严重不符合0项，一般不符合</w:t>
      </w:r>
      <w:r>
        <w:rPr>
          <w:rFonts w:hint="eastAsia"/>
          <w:b/>
          <w:color w:val="000000" w:themeColor="text1"/>
          <w:lang w:val="en-US" w:eastAsia="zh-CN"/>
        </w:rPr>
        <w:t>3</w:t>
      </w:r>
      <w:r>
        <w:rPr>
          <w:rFonts w:hint="eastAsia"/>
          <w:b/>
          <w:color w:val="000000" w:themeColor="text1"/>
        </w:rPr>
        <w:t>项，观察项项分布在部门条款，分布见附件。（Q/J/E/S分开填写）</w:t>
      </w:r>
    </w:p>
    <w:p>
      <w:pPr>
        <w:tabs>
          <w:tab w:val="left" w:pos="215"/>
          <w:tab w:val="left" w:pos="430"/>
        </w:tabs>
        <w:spacing w:line="360" w:lineRule="auto"/>
        <w:ind w:left="-190" w:leftChars="-472" w:hanging="801" w:hangingChars="380"/>
        <w:rPr>
          <w:b/>
          <w:color w:val="000000" w:themeColor="text1"/>
        </w:rPr>
      </w:pPr>
      <w:r>
        <w:rPr>
          <w:rFonts w:hint="eastAsia"/>
          <w:b/>
          <w:bCs/>
          <w:color w:val="000000" w:themeColor="text1"/>
          <w:szCs w:val="28"/>
        </w:rPr>
        <w:t>2. 本次审核发现不符合及存在问题对管理体系实现目标的影响</w:t>
      </w:r>
      <w:r>
        <w:rPr>
          <w:rFonts w:hint="eastAsia"/>
          <w:b/>
          <w:color w:val="000000" w:themeColor="text1"/>
          <w:spacing w:val="-10"/>
          <w:szCs w:val="21"/>
        </w:rPr>
        <w:t>□</w:t>
      </w:r>
      <w:r>
        <w:rPr>
          <w:rFonts w:hint="eastAsia"/>
          <w:b/>
          <w:color w:val="000000" w:themeColor="text1"/>
        </w:rPr>
        <w:t>较大</w:t>
      </w:r>
      <w:r>
        <w:rPr>
          <w:rFonts w:hint="eastAsia"/>
          <w:b/>
          <w:color w:val="000000"/>
          <w:spacing w:val="-10"/>
          <w:szCs w:val="21"/>
        </w:rPr>
        <w:t>■</w:t>
      </w:r>
      <w:r>
        <w:rPr>
          <w:rFonts w:hint="eastAsia"/>
          <w:b/>
          <w:color w:val="000000" w:themeColor="text1"/>
        </w:rPr>
        <w:t>不大</w:t>
      </w:r>
    </w:p>
    <w:p>
      <w:pPr>
        <w:tabs>
          <w:tab w:val="left" w:pos="215"/>
          <w:tab w:val="left" w:pos="430"/>
        </w:tabs>
        <w:spacing w:line="360" w:lineRule="auto"/>
        <w:ind w:left="-190" w:leftChars="-472" w:hanging="801" w:hangingChars="380"/>
        <w:rPr>
          <w:b/>
          <w:color w:val="000000" w:themeColor="text1"/>
        </w:rPr>
      </w:pPr>
      <w:r>
        <w:rPr>
          <w:rFonts w:hint="eastAsia"/>
          <w:b/>
          <w:color w:val="000000" w:themeColor="text1"/>
        </w:rPr>
        <w:t>八、已识别出的任何未解决的问题：</w:t>
      </w:r>
    </w:p>
    <w:p>
      <w:pPr>
        <w:snapToGrid w:val="0"/>
        <w:spacing w:line="360" w:lineRule="auto"/>
        <w:ind w:left="-191" w:leftChars="-337" w:hanging="517" w:hangingChars="271"/>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可能影响本次审核结论可靠性的因素：</w:t>
      </w:r>
    </w:p>
    <w:tbl>
      <w:tblPr>
        <w:tblStyle w:val="7"/>
        <w:tblW w:w="10065"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6"/>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b/>
                <w:color w:val="000000" w:themeColor="text1"/>
                <w:spacing w:val="-10"/>
                <w:szCs w:val="21"/>
              </w:rPr>
            </w:pPr>
            <w:r>
              <w:rPr>
                <w:rFonts w:hint="eastAsia" w:ascii="宋体" w:hAnsi="宋体"/>
                <w:b/>
                <w:color w:val="000000" w:themeColor="text1"/>
                <w:szCs w:val="21"/>
              </w:rPr>
              <w:t>影响本次审核结论可靠性的因素</w:t>
            </w:r>
          </w:p>
        </w:tc>
        <w:tc>
          <w:tcPr>
            <w:tcW w:w="4819" w:type="dxa"/>
          </w:tcPr>
          <w:p>
            <w:pPr>
              <w:snapToGrid w:val="0"/>
              <w:spacing w:line="360" w:lineRule="auto"/>
              <w:rPr>
                <w:rFonts w:ascii="宋体" w:hAnsi="宋体"/>
                <w:b/>
                <w:color w:val="000000" w:themeColor="text1"/>
                <w:szCs w:val="21"/>
              </w:rPr>
            </w:pPr>
            <w:r>
              <w:rPr>
                <w:rFonts w:hint="eastAsia" w:ascii="宋体" w:hAnsi="宋体"/>
                <w:b/>
                <w:color w:val="000000" w:themeColor="text1"/>
                <w:szCs w:val="21"/>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样本量不足</w:t>
            </w:r>
          </w:p>
        </w:tc>
        <w:tc>
          <w:tcPr>
            <w:tcW w:w="4819" w:type="dxa"/>
          </w:tcPr>
          <w:p>
            <w:pPr>
              <w:snapToGrid w:val="0"/>
              <w:spacing w:line="360" w:lineRule="auto"/>
              <w:rPr>
                <w:rFonts w:ascii="宋体" w:hAnsi="宋体"/>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知识产权保护</w:t>
            </w:r>
          </w:p>
        </w:tc>
        <w:tc>
          <w:tcPr>
            <w:tcW w:w="4819" w:type="dxa"/>
          </w:tcPr>
          <w:p>
            <w:pPr>
              <w:snapToGrid w:val="0"/>
              <w:spacing w:line="360" w:lineRule="auto"/>
              <w:rPr>
                <w:rFonts w:ascii="宋体" w:hAnsi="宋体"/>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因受审核方信息造成的日数或审核资源不足</w:t>
            </w:r>
          </w:p>
        </w:tc>
        <w:tc>
          <w:tcPr>
            <w:tcW w:w="4819" w:type="dxa"/>
          </w:tcPr>
          <w:p>
            <w:pPr>
              <w:snapToGrid w:val="0"/>
              <w:spacing w:line="360" w:lineRule="auto"/>
              <w:rPr>
                <w:rFonts w:ascii="宋体" w:hAnsi="宋体"/>
                <w:b/>
                <w:color w:val="000000" w:themeColor="text1"/>
                <w:szCs w:val="21"/>
              </w:rPr>
            </w:pPr>
          </w:p>
        </w:tc>
      </w:tr>
    </w:tbl>
    <w:p>
      <w:pPr>
        <w:snapToGrid w:val="0"/>
        <w:spacing w:line="360" w:lineRule="auto"/>
        <w:ind w:left="-191" w:leftChars="-337" w:hanging="517" w:hangingChars="271"/>
        <w:rPr>
          <w:b/>
          <w:color w:val="000000" w:themeColor="text1"/>
          <w:spacing w:val="-10"/>
          <w:szCs w:val="21"/>
        </w:rPr>
      </w:pPr>
    </w:p>
    <w:p>
      <w:pPr>
        <w:snapToGrid w:val="0"/>
        <w:spacing w:line="360" w:lineRule="auto"/>
        <w:rPr>
          <w:b/>
          <w:color w:val="000000" w:themeColor="text1"/>
          <w:spacing w:val="-10"/>
          <w:szCs w:val="21"/>
        </w:rPr>
      </w:pPr>
    </w:p>
    <w:p>
      <w:pPr>
        <w:snapToGrid w:val="0"/>
        <w:spacing w:line="360" w:lineRule="auto"/>
        <w:ind w:left="364" w:leftChars="-472" w:hanging="1355" w:hangingChars="519"/>
        <w:rPr>
          <w:b/>
          <w:color w:val="000000" w:themeColor="text1"/>
          <w:sz w:val="26"/>
          <w:szCs w:val="26"/>
        </w:rPr>
      </w:pPr>
      <w:r>
        <w:rPr>
          <w:rFonts w:hint="eastAsia"/>
          <w:b/>
          <w:color w:val="000000" w:themeColor="text1"/>
          <w:sz w:val="26"/>
          <w:szCs w:val="26"/>
        </w:rPr>
        <w:t>九、是否达到审核目的</w:t>
      </w:r>
    </w:p>
    <w:p>
      <w:pPr>
        <w:snapToGrid w:val="0"/>
        <w:spacing w:line="360" w:lineRule="auto"/>
        <w:ind w:left="-191" w:leftChars="-337" w:hanging="517" w:hangingChars="271"/>
        <w:rPr>
          <w:rFonts w:ascii="宋体" w:hAnsi="宋体"/>
          <w:b/>
          <w:color w:val="000000" w:themeColor="text1"/>
          <w:szCs w:val="21"/>
        </w:rPr>
      </w:pPr>
      <w:r>
        <w:rPr>
          <w:rFonts w:hint="eastAsia"/>
          <w:b/>
          <w:color w:val="000000"/>
          <w:spacing w:val="-10"/>
          <w:szCs w:val="21"/>
        </w:rPr>
        <w:t>■</w:t>
      </w:r>
      <w:r>
        <w:rPr>
          <w:rFonts w:hint="eastAsia" w:ascii="宋体" w:hAnsi="宋体"/>
          <w:b/>
          <w:color w:val="000000" w:themeColor="text1"/>
          <w:szCs w:val="21"/>
        </w:rPr>
        <w:t xml:space="preserve">达到审核目的 </w:t>
      </w:r>
    </w:p>
    <w:p>
      <w:pPr>
        <w:snapToGrid w:val="0"/>
        <w:spacing w:line="360" w:lineRule="auto"/>
        <w:ind w:left="-191" w:leftChars="-337" w:hanging="517" w:hangingChars="271"/>
        <w:rPr>
          <w:rFonts w:ascii="宋体" w:hAnsi="宋体"/>
          <w:b/>
          <w:color w:val="000000" w:themeColor="text1"/>
          <w:szCs w:val="21"/>
        </w:rPr>
      </w:pPr>
      <w:r>
        <w:rPr>
          <w:rFonts w:hint="eastAsia"/>
          <w:b/>
          <w:color w:val="000000" w:themeColor="text1"/>
          <w:spacing w:val="-10"/>
          <w:szCs w:val="21"/>
        </w:rPr>
        <w:t>□未</w:t>
      </w:r>
      <w:r>
        <w:rPr>
          <w:rFonts w:hint="eastAsia" w:ascii="宋体" w:hAnsi="宋体"/>
          <w:b/>
          <w:color w:val="000000" w:themeColor="text1"/>
          <w:szCs w:val="21"/>
        </w:rPr>
        <w:t>达到审核目的，未达到目的的原因是：</w:t>
      </w:r>
    </w:p>
    <w:p>
      <w:pPr>
        <w:spacing w:line="360" w:lineRule="auto"/>
        <w:ind w:left="1" w:leftChars="-472" w:hanging="992" w:hangingChars="380"/>
        <w:rPr>
          <w:b/>
          <w:color w:val="000000" w:themeColor="text1"/>
          <w:sz w:val="26"/>
          <w:szCs w:val="26"/>
        </w:rPr>
      </w:pPr>
      <w:r>
        <w:rPr>
          <w:rFonts w:hint="eastAsia"/>
          <w:b/>
          <w:color w:val="000000" w:themeColor="text1"/>
          <w:sz w:val="26"/>
          <w:szCs w:val="26"/>
        </w:rPr>
        <w:t>十、审核结论</w:t>
      </w:r>
    </w:p>
    <w:tbl>
      <w:tblPr>
        <w:tblStyle w:val="6"/>
        <w:tblW w:w="10080" w:type="dxa"/>
        <w:tblInd w:w="-8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2" w:hRule="atLeast"/>
        </w:trPr>
        <w:tc>
          <w:tcPr>
            <w:tcW w:w="10080" w:type="dxa"/>
          </w:tcPr>
          <w:p>
            <w:pPr>
              <w:spacing w:line="280" w:lineRule="exact"/>
              <w:rPr>
                <w:b/>
                <w:color w:val="000000" w:themeColor="text1"/>
                <w:sz w:val="22"/>
                <w:szCs w:val="22"/>
              </w:rPr>
            </w:pPr>
            <w:r>
              <w:rPr>
                <w:rFonts w:hint="eastAsia"/>
                <w:b/>
                <w:color w:val="000000" w:themeColor="text1"/>
                <w:spacing w:val="-10"/>
                <w:sz w:val="22"/>
                <w:szCs w:val="22"/>
              </w:rPr>
              <w:t xml:space="preserve">1. </w:t>
            </w:r>
            <w:r>
              <w:rPr>
                <w:rFonts w:hint="eastAsia"/>
                <w:b/>
                <w:color w:val="000000"/>
                <w:spacing w:val="-10"/>
                <w:szCs w:val="21"/>
              </w:rPr>
              <w:t>■</w:t>
            </w:r>
            <w:r>
              <w:rPr>
                <w:rFonts w:hint="eastAsia"/>
                <w:b/>
                <w:color w:val="000000" w:themeColor="text1"/>
                <w:sz w:val="22"/>
                <w:szCs w:val="22"/>
              </w:rPr>
              <w:t>QMS</w:t>
            </w:r>
            <w:r>
              <w:rPr>
                <w:rFonts w:hint="eastAsia"/>
                <w:b/>
                <w:color w:val="000000"/>
                <w:spacing w:val="-10"/>
                <w:szCs w:val="21"/>
              </w:rPr>
              <w:t>■</w:t>
            </w:r>
            <w:r>
              <w:rPr>
                <w:rFonts w:hint="eastAsia"/>
                <w:b/>
                <w:color w:val="000000" w:themeColor="text1"/>
                <w:sz w:val="22"/>
                <w:szCs w:val="22"/>
              </w:rPr>
              <w:t xml:space="preserve">EMS  </w:t>
            </w:r>
            <w:r>
              <w:rPr>
                <w:rFonts w:hint="eastAsia"/>
                <w:b/>
                <w:color w:val="000000"/>
                <w:spacing w:val="-10"/>
                <w:szCs w:val="21"/>
              </w:rPr>
              <w:t>■</w:t>
            </w:r>
            <w:r>
              <w:rPr>
                <w:rFonts w:hint="eastAsia"/>
                <w:b/>
                <w:color w:val="000000" w:themeColor="text1"/>
                <w:sz w:val="22"/>
                <w:szCs w:val="22"/>
              </w:rPr>
              <w:t>OHSMS的适宜性、充分性、运行有效性，自我完善机制等。管理体系满足适用要求和实现预期结果的能力。</w:t>
            </w:r>
          </w:p>
          <w:p>
            <w:pPr>
              <w:spacing w:line="280" w:lineRule="exact"/>
              <w:ind w:left="221" w:hanging="221" w:hangingChars="100"/>
              <w:rPr>
                <w:b/>
                <w:color w:val="000000" w:themeColor="text1"/>
                <w:sz w:val="22"/>
                <w:szCs w:val="22"/>
              </w:rPr>
            </w:pPr>
            <w:r>
              <w:rPr>
                <w:rFonts w:hint="eastAsia"/>
                <w:b/>
                <w:color w:val="000000" w:themeColor="text1"/>
                <w:sz w:val="22"/>
                <w:szCs w:val="22"/>
              </w:rPr>
              <w:t>（描述组织实施“过程控制”，满足标准要求和目标，向顾客提供稳定、合格产品，满足适用的质量/环境/职业健康安全法规要求，防止污染、重大事故和持续改进的情况以及对周边环境产生的影响，措施的有效性）</w:t>
            </w:r>
          </w:p>
          <w:p>
            <w:pPr>
              <w:spacing w:line="240" w:lineRule="exact"/>
              <w:rPr>
                <w:b/>
                <w:color w:val="000000" w:themeColor="text1"/>
                <w:sz w:val="22"/>
                <w:szCs w:val="22"/>
              </w:rPr>
            </w:pPr>
            <w:r>
              <w:rPr>
                <w:rFonts w:hint="eastAsia"/>
                <w:b/>
                <w:color w:val="000000"/>
                <w:spacing w:val="-10"/>
                <w:szCs w:val="21"/>
              </w:rPr>
              <w:t>■</w:t>
            </w:r>
            <w:r>
              <w:rPr>
                <w:rFonts w:hint="eastAsia"/>
                <w:b/>
                <w:color w:val="000000" w:themeColor="text1"/>
                <w:sz w:val="22"/>
                <w:szCs w:val="22"/>
              </w:rPr>
              <w:t xml:space="preserve">QMS  </w:t>
            </w:r>
            <w:r>
              <w:rPr>
                <w:rFonts w:hint="eastAsia"/>
                <w:b/>
                <w:color w:val="000000"/>
                <w:spacing w:val="-10"/>
                <w:szCs w:val="21"/>
              </w:rPr>
              <w:t>■</w:t>
            </w:r>
            <w:r>
              <w:rPr>
                <w:rFonts w:hint="eastAsia"/>
                <w:b/>
                <w:color w:val="000000" w:themeColor="text1"/>
                <w:sz w:val="22"/>
                <w:szCs w:val="22"/>
              </w:rPr>
              <w:t xml:space="preserve">EMS  </w:t>
            </w:r>
            <w:r>
              <w:rPr>
                <w:rFonts w:hint="eastAsia"/>
                <w:b/>
                <w:color w:val="000000"/>
                <w:spacing w:val="-10"/>
                <w:szCs w:val="21"/>
              </w:rPr>
              <w:t>■</w:t>
            </w:r>
            <w:r>
              <w:rPr>
                <w:rFonts w:hint="eastAsia"/>
                <w:b/>
                <w:color w:val="000000" w:themeColor="text1"/>
                <w:sz w:val="22"/>
                <w:szCs w:val="22"/>
              </w:rPr>
              <w:t>OHSMS持续的符合性及运行的有效性，以及与认证范围的持续相关性和适宜性及自我完善机制等。</w:t>
            </w:r>
          </w:p>
          <w:p>
            <w:pPr>
              <w:spacing w:line="240" w:lineRule="exact"/>
              <w:rPr>
                <w:b/>
                <w:color w:val="000000" w:themeColor="text1"/>
                <w:sz w:val="22"/>
                <w:szCs w:val="22"/>
              </w:rPr>
            </w:pPr>
          </w:p>
          <w:p>
            <w:pPr>
              <w:spacing w:line="240" w:lineRule="exact"/>
            </w:pPr>
            <w:r>
              <w:rPr>
                <w:rFonts w:hint="eastAsia"/>
              </w:rPr>
              <w:t>组织建立并实施的管理体系基本符合标准要求，可能存在的重要风险可以得到有效控制，没有出现过环境和安全事故以及顾客投诉事件发生，体系运行基本有效，组织初步建立了自我完善和自我改进机制。现场开具的不符合项在规定的期限内采取纠正措施并经审核组书面验证有效后，同意推荐认证注册。</w:t>
            </w:r>
          </w:p>
          <w:p>
            <w:pPr>
              <w:spacing w:line="240" w:lineRule="exact"/>
              <w:rPr>
                <w:b/>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trPr>
        <w:tc>
          <w:tcPr>
            <w:tcW w:w="10080" w:type="dxa"/>
          </w:tcPr>
          <w:p>
            <w:pPr>
              <w:rPr>
                <w:b/>
                <w:color w:val="000000" w:themeColor="text1"/>
              </w:rPr>
            </w:pPr>
            <w:r>
              <w:rPr>
                <w:rFonts w:hint="eastAsia"/>
                <w:b/>
                <w:color w:val="000000" w:themeColor="text1"/>
              </w:rPr>
              <w:t>2.对审核范围适宜性结论</w:t>
            </w:r>
          </w:p>
          <w:p>
            <w:pPr>
              <w:rPr>
                <w:b/>
                <w:color w:val="000000" w:themeColor="text1"/>
              </w:rPr>
            </w:pPr>
            <w:r>
              <w:rPr>
                <w:rFonts w:hint="eastAsia"/>
                <w:b/>
                <w:color w:val="000000"/>
                <w:spacing w:val="-10"/>
                <w:szCs w:val="21"/>
              </w:rPr>
              <w:t>■</w:t>
            </w:r>
            <w:r>
              <w:rPr>
                <w:rFonts w:hint="eastAsia"/>
                <w:b/>
                <w:color w:val="000000" w:themeColor="text1"/>
              </w:rPr>
              <w:t>审核范围适宜，与申请范围一致</w:t>
            </w:r>
          </w:p>
          <w:p>
            <w:pPr>
              <w:rPr>
                <w:b/>
                <w:color w:val="000000" w:themeColor="text1"/>
              </w:rPr>
            </w:pPr>
            <w:r>
              <w:rPr>
                <w:rFonts w:hint="eastAsia"/>
                <w:b/>
                <w:color w:val="000000" w:themeColor="text1"/>
                <w:spacing w:val="-10"/>
                <w:szCs w:val="21"/>
              </w:rPr>
              <w:t>□</w:t>
            </w:r>
            <w:r>
              <w:rPr>
                <w:rFonts w:hint="eastAsia"/>
                <w:b/>
                <w:color w:val="000000" w:themeColor="text1"/>
              </w:rPr>
              <w:t>审核范围变更，</w:t>
            </w:r>
          </w:p>
          <w:p>
            <w:pPr>
              <w:spacing w:line="320" w:lineRule="exact"/>
              <w:rPr>
                <w:rFonts w:ascii="宋体" w:hAnsi="宋体"/>
                <w:b/>
                <w:color w:val="000000" w:themeColor="text1"/>
                <w:u w:val="single"/>
              </w:rPr>
            </w:pPr>
            <w:r>
              <w:rPr>
                <w:rFonts w:ascii="宋体" w:hAnsi="宋体"/>
                <w:b/>
                <w:color w:val="000000" w:themeColor="text1"/>
              </w:rPr>
              <w:t>QMS:</w:t>
            </w:r>
          </w:p>
          <w:p>
            <w:pPr>
              <w:spacing w:line="320" w:lineRule="exact"/>
              <w:rPr>
                <w:rFonts w:ascii="宋体" w:hAnsi="宋体"/>
                <w:b/>
                <w:color w:val="000000" w:themeColor="text1"/>
                <w:u w:val="single"/>
              </w:rPr>
            </w:pPr>
          </w:p>
          <w:p>
            <w:pPr>
              <w:spacing w:line="320" w:lineRule="exact"/>
              <w:rPr>
                <w:rFonts w:ascii="宋体" w:hAnsi="宋体"/>
                <w:b/>
                <w:color w:val="000000" w:themeColor="text1"/>
                <w:u w:val="single"/>
                <w:lang w:val="en-GB"/>
              </w:rPr>
            </w:pPr>
            <w:r>
              <w:rPr>
                <w:rFonts w:hint="eastAsia" w:ascii="宋体" w:hAnsi="宋体"/>
                <w:b/>
                <w:color w:val="000000" w:themeColor="text1"/>
              </w:rPr>
              <w:t>EMS</w:t>
            </w:r>
            <w:r>
              <w:rPr>
                <w:rFonts w:hint="eastAsia" w:ascii="宋体" w:hAnsi="宋体"/>
                <w:b/>
                <w:color w:val="000000" w:themeColor="text1"/>
                <w:lang w:val="en-GB"/>
              </w:rPr>
              <w:t>:</w:t>
            </w:r>
          </w:p>
          <w:p>
            <w:pPr>
              <w:spacing w:line="320" w:lineRule="exact"/>
              <w:rPr>
                <w:rFonts w:ascii="宋体" w:hAnsi="宋体"/>
                <w:b/>
                <w:color w:val="000000" w:themeColor="text1"/>
                <w:u w:val="single"/>
                <w:lang w:val="en-GB"/>
              </w:rPr>
            </w:pPr>
          </w:p>
          <w:p>
            <w:pPr>
              <w:spacing w:line="320" w:lineRule="exact"/>
              <w:rPr>
                <w:rFonts w:ascii="宋体" w:hAnsi="宋体"/>
                <w:b/>
                <w:color w:val="000000" w:themeColor="text1"/>
                <w:u w:val="single"/>
                <w:lang w:val="en-GB"/>
              </w:rPr>
            </w:pPr>
            <w:r>
              <w:rPr>
                <w:rFonts w:hint="eastAsia" w:ascii="宋体" w:hAnsi="宋体"/>
                <w:b/>
                <w:color w:val="000000" w:themeColor="text1"/>
              </w:rPr>
              <w:t>OHSMS</w:t>
            </w:r>
            <w:r>
              <w:rPr>
                <w:rFonts w:hint="eastAsia" w:ascii="宋体" w:hAnsi="宋体"/>
                <w:b/>
                <w:color w:val="000000" w:themeColor="text1"/>
                <w:lang w:val="en-GB"/>
              </w:rPr>
              <w:t>:</w:t>
            </w:r>
          </w:p>
          <w:p>
            <w:pPr>
              <w:snapToGrid w:val="0"/>
              <w:spacing w:line="280" w:lineRule="exact"/>
              <w:rPr>
                <w:b/>
                <w:color w:val="000000" w:themeColor="text1"/>
                <w:spacing w:val="-1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5" w:hRule="atLeast"/>
        </w:trPr>
        <w:tc>
          <w:tcPr>
            <w:tcW w:w="10080" w:type="dxa"/>
          </w:tcPr>
          <w:p>
            <w:pPr>
              <w:rPr>
                <w:b/>
                <w:color w:val="000000" w:themeColor="text1"/>
                <w:sz w:val="16"/>
                <w:szCs w:val="16"/>
              </w:rPr>
            </w:pPr>
            <w:r>
              <w:drawing>
                <wp:anchor distT="0" distB="0" distL="114300" distR="114300" simplePos="0" relativeHeight="251661312" behindDoc="0" locked="0" layoutInCell="1" allowOverlap="1">
                  <wp:simplePos x="0" y="0"/>
                  <wp:positionH relativeFrom="column">
                    <wp:posOffset>-85725</wp:posOffset>
                  </wp:positionH>
                  <wp:positionV relativeFrom="paragraph">
                    <wp:posOffset>-93345</wp:posOffset>
                  </wp:positionV>
                  <wp:extent cx="6436995" cy="8525510"/>
                  <wp:effectExtent l="0" t="0" r="1905" b="889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6436995" cy="8525510"/>
                          </a:xfrm>
                          <a:prstGeom prst="rect">
                            <a:avLst/>
                          </a:prstGeom>
                          <a:noFill/>
                          <a:ln>
                            <a:noFill/>
                          </a:ln>
                        </pic:spPr>
                      </pic:pic>
                    </a:graphicData>
                  </a:graphic>
                </wp:anchor>
              </w:drawing>
            </w:r>
            <w:r>
              <w:rPr>
                <w:rFonts w:hint="eastAsia"/>
                <w:b/>
                <w:color w:val="000000" w:themeColor="text1"/>
              </w:rPr>
              <w:t>3. 审核组推荐意见</w:t>
            </w:r>
            <w:r>
              <w:rPr>
                <w:rFonts w:hint="eastAsia"/>
                <w:b/>
                <w:color w:val="000000" w:themeColor="text1"/>
                <w:sz w:val="16"/>
                <w:szCs w:val="16"/>
              </w:rPr>
              <w:t>：</w:t>
            </w:r>
          </w:p>
          <w:p>
            <w:pPr>
              <w:rPr>
                <w:b/>
                <w:color w:val="000000" w:themeColor="text1"/>
              </w:rPr>
            </w:pPr>
            <w:r>
              <w:rPr>
                <w:rFonts w:hint="eastAsia"/>
                <w:b/>
                <w:color w:val="000000" w:themeColor="text1"/>
                <w:spacing w:val="-10"/>
                <w:szCs w:val="21"/>
              </w:rPr>
              <w:t>□</w:t>
            </w:r>
            <w:r>
              <w:rPr>
                <w:rFonts w:hint="eastAsia"/>
                <w:b/>
                <w:color w:val="000000" w:themeColor="text1"/>
              </w:rPr>
              <w:t>推荐认证注册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10"/>
                <w:sz w:val="22"/>
                <w:szCs w:val="22"/>
              </w:rPr>
            </w:pPr>
            <w:r>
              <w:rPr>
                <w:rFonts w:hint="eastAsia"/>
                <w:b/>
                <w:color w:val="000000"/>
                <w:spacing w:val="-10"/>
                <w:szCs w:val="21"/>
              </w:rPr>
              <w:t>■</w:t>
            </w:r>
            <w:r>
              <w:rPr>
                <w:rFonts w:hint="eastAsia"/>
                <w:b/>
                <w:color w:val="000000" w:themeColor="text1"/>
                <w:spacing w:val="-4"/>
              </w:rPr>
              <w:t>在完成纠正措施后</w:t>
            </w:r>
            <w:r>
              <w:rPr>
                <w:rFonts w:hint="eastAsia"/>
                <w:b/>
                <w:color w:val="000000" w:themeColor="text1"/>
              </w:rPr>
              <w:t>推荐认证注册</w:t>
            </w:r>
            <w:r>
              <w:rPr>
                <w:rFonts w:hint="eastAsia"/>
                <w:b/>
                <w:color w:val="000000" w:themeColor="text1"/>
                <w:szCs w:val="21"/>
              </w:rPr>
              <w:t>(</w:t>
            </w:r>
            <w:r>
              <w:rPr>
                <w:rFonts w:hint="eastAsia"/>
                <w:b/>
                <w:color w:val="000000"/>
                <w:spacing w:val="-10"/>
                <w:szCs w:val="21"/>
              </w:rPr>
              <w:t>■</w:t>
            </w:r>
            <w:r>
              <w:rPr>
                <w:rFonts w:hint="eastAsia"/>
                <w:b/>
                <w:color w:val="000000" w:themeColor="text1"/>
                <w:szCs w:val="21"/>
              </w:rPr>
              <w:t xml:space="preserve">QMS  </w:t>
            </w:r>
            <w:r>
              <w:rPr>
                <w:rFonts w:hint="eastAsia"/>
                <w:b/>
                <w:color w:val="000000"/>
                <w:spacing w:val="-10"/>
                <w:szCs w:val="21"/>
              </w:rPr>
              <w:t>■</w:t>
            </w:r>
            <w:r>
              <w:rPr>
                <w:rFonts w:hint="eastAsia"/>
                <w:b/>
                <w:color w:val="000000" w:themeColor="text1"/>
                <w:szCs w:val="21"/>
              </w:rPr>
              <w:t xml:space="preserve">EMS   </w:t>
            </w:r>
            <w:r>
              <w:rPr>
                <w:rFonts w:hint="eastAsia"/>
                <w:b/>
                <w:color w:val="000000"/>
                <w:spacing w:val="-10"/>
                <w:szCs w:val="21"/>
              </w:rPr>
              <w:t>■</w:t>
            </w:r>
            <w:r>
              <w:rPr>
                <w:rFonts w:hint="eastAsia"/>
                <w:b/>
                <w:color w:val="000000" w:themeColor="text1"/>
                <w:szCs w:val="21"/>
              </w:rPr>
              <w:t>OHSMS)</w:t>
            </w:r>
          </w:p>
          <w:p>
            <w:pPr>
              <w:rPr>
                <w:b/>
                <w:color w:val="000000" w:themeColor="text1"/>
                <w:spacing w:val="-4"/>
                <w:szCs w:val="21"/>
              </w:rPr>
            </w:pPr>
            <w:r>
              <w:rPr>
                <w:rFonts w:hint="eastAsia"/>
                <w:b/>
                <w:color w:val="000000" w:themeColor="text1"/>
                <w:spacing w:val="-10"/>
                <w:szCs w:val="21"/>
              </w:rPr>
              <w:t>□</w:t>
            </w:r>
            <w:r>
              <w:rPr>
                <w:rFonts w:hint="eastAsia"/>
                <w:b/>
                <w:color w:val="000000" w:themeColor="text1"/>
              </w:rPr>
              <w:t>推荐保持认证注册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4"/>
                <w:szCs w:val="21"/>
              </w:rPr>
            </w:pPr>
            <w:r>
              <w:rPr>
                <w:rFonts w:hint="eastAsia"/>
                <w:b/>
                <w:color w:val="000000" w:themeColor="text1"/>
                <w:spacing w:val="-10"/>
                <w:szCs w:val="21"/>
              </w:rPr>
              <w:t>□</w:t>
            </w:r>
            <w:r>
              <w:rPr>
                <w:rFonts w:hint="eastAsia"/>
                <w:b/>
                <w:color w:val="000000" w:themeColor="text1"/>
                <w:spacing w:val="-4"/>
              </w:rPr>
              <w:t>(在完成纠正措施后</w:t>
            </w:r>
            <w:r>
              <w:rPr>
                <w:rFonts w:hint="eastAsia"/>
                <w:b/>
                <w:color w:val="000000" w:themeColor="text1"/>
              </w:rPr>
              <w:t>推荐保持认证注册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4"/>
                <w:szCs w:val="21"/>
              </w:rPr>
            </w:pPr>
            <w:r>
              <w:rPr>
                <w:rFonts w:hint="eastAsia"/>
                <w:b/>
                <w:color w:val="000000" w:themeColor="text1"/>
                <w:spacing w:val="-10"/>
                <w:szCs w:val="21"/>
              </w:rPr>
              <w:t>□</w:t>
            </w:r>
            <w:r>
              <w:rPr>
                <w:rFonts w:hint="eastAsia"/>
                <w:b/>
                <w:color w:val="000000" w:themeColor="text1"/>
              </w:rPr>
              <w:t>推荐扩大范围</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zCs w:val="21"/>
              </w:rPr>
            </w:pPr>
            <w:r>
              <w:rPr>
                <w:rFonts w:hint="eastAsia"/>
                <w:b/>
                <w:color w:val="000000" w:themeColor="text1"/>
                <w:spacing w:val="-10"/>
                <w:szCs w:val="21"/>
              </w:rPr>
              <w:t>□</w:t>
            </w:r>
            <w:r>
              <w:rPr>
                <w:rFonts w:hint="eastAsia"/>
                <w:b/>
                <w:color w:val="000000" w:themeColor="text1"/>
                <w:spacing w:val="-4"/>
              </w:rPr>
              <w:t>在完成纠正措施后</w:t>
            </w:r>
            <w:r>
              <w:rPr>
                <w:rFonts w:hint="eastAsia"/>
                <w:b/>
                <w:color w:val="000000" w:themeColor="text1"/>
              </w:rPr>
              <w:t>推荐扩大范围</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zCs w:val="21"/>
              </w:rPr>
            </w:pPr>
            <w:r>
              <w:rPr>
                <w:rFonts w:hint="eastAsia"/>
                <w:b/>
                <w:color w:val="000000" w:themeColor="text1"/>
                <w:spacing w:val="-10"/>
                <w:szCs w:val="21"/>
              </w:rPr>
              <w:t>□</w:t>
            </w:r>
            <w:r>
              <w:rPr>
                <w:rFonts w:hint="eastAsia"/>
                <w:b/>
                <w:color w:val="000000" w:themeColor="text1"/>
              </w:rPr>
              <w:t>延期推荐注册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snapToGrid w:val="0"/>
              <w:rPr>
                <w:b/>
                <w:color w:val="000000" w:themeColor="text1"/>
                <w:szCs w:val="21"/>
              </w:rPr>
            </w:pPr>
            <w:r>
              <w:rPr>
                <w:rFonts w:hint="eastAsia"/>
                <w:b/>
                <w:color w:val="000000" w:themeColor="text1"/>
                <w:spacing w:val="-10"/>
                <w:szCs w:val="21"/>
              </w:rPr>
              <w:t>□</w:t>
            </w:r>
            <w:r>
              <w:rPr>
                <w:rFonts w:hint="eastAsia"/>
                <w:b/>
                <w:color w:val="000000" w:themeColor="text1"/>
              </w:rPr>
              <w:t>不推荐认证注册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snapToGrid w:val="0"/>
              <w:rPr>
                <w:b/>
                <w:color w:val="000000" w:themeColor="text1"/>
                <w:spacing w:val="-10"/>
                <w:sz w:val="16"/>
                <w:szCs w:val="16"/>
              </w:rPr>
            </w:pPr>
            <w:r>
              <w:rPr>
                <w:rFonts w:hint="eastAsia"/>
                <w:b/>
                <w:color w:val="000000" w:themeColor="text1"/>
                <w:spacing w:val="-10"/>
                <w:szCs w:val="21"/>
              </w:rPr>
              <w:t>□不推荐或缩小推荐范围的说明</w:t>
            </w:r>
            <w:r>
              <w:rPr>
                <w:rFonts w:hint="eastAsia"/>
                <w:b/>
                <w:color w:val="000000" w:themeColor="text1"/>
                <w:spacing w:val="-10"/>
                <w:sz w:val="16"/>
                <w:szCs w:val="16"/>
              </w:rPr>
              <w:t>:</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10080" w:type="dxa"/>
            <w:tcBorders>
              <w:top w:val="single" w:color="auto" w:sz="4" w:space="0"/>
            </w:tcBorders>
          </w:tcPr>
          <w:p>
            <w:pPr>
              <w:spacing w:line="360" w:lineRule="auto"/>
              <w:rPr>
                <w:b/>
                <w:color w:val="000000" w:themeColor="text1"/>
              </w:rPr>
            </w:pPr>
          </w:p>
        </w:tc>
      </w:tr>
    </w:tbl>
    <w:p>
      <w:pPr>
        <w:pStyle w:val="5"/>
        <w:spacing w:line="360" w:lineRule="auto"/>
        <w:ind w:left="-67" w:leftChars="-472" w:hanging="924" w:hangingChars="354"/>
        <w:rPr>
          <w:rFonts w:ascii="仿宋" w:hAnsi="仿宋" w:eastAsia="仿宋"/>
          <w:color w:val="000000" w:themeColor="text1"/>
          <w:kern w:val="24"/>
          <w:sz w:val="28"/>
          <w:szCs w:val="28"/>
        </w:rPr>
      </w:pPr>
      <w:r>
        <w:rPr>
          <w:rFonts w:hint="eastAsia"/>
          <w:b/>
          <w:color w:val="000000" w:themeColor="text1"/>
          <w:sz w:val="26"/>
          <w:szCs w:val="26"/>
        </w:rPr>
        <w:t>十一、</w:t>
      </w:r>
      <w:r>
        <w:rPr>
          <w:rFonts w:hint="eastAsia" w:ascii="仿宋" w:hAnsi="仿宋" w:eastAsia="仿宋"/>
          <w:color w:val="000000" w:themeColor="text1"/>
          <w:kern w:val="24"/>
          <w:sz w:val="28"/>
          <w:szCs w:val="28"/>
        </w:rPr>
        <w:t xml:space="preserve">审核基于对可获得信息的抽样过程的免责声明； </w:t>
      </w:r>
    </w:p>
    <w:p>
      <w:pPr>
        <w:snapToGrid w:val="0"/>
        <w:spacing w:line="360" w:lineRule="auto"/>
        <w:ind w:left="-853" w:leftChars="-406" w:firstLine="424" w:firstLineChars="201"/>
        <w:jc w:val="left"/>
        <w:rPr>
          <w:b/>
          <w:color w:val="000000" w:themeColor="text1"/>
        </w:rPr>
      </w:pPr>
      <w:r>
        <w:rPr>
          <w:rFonts w:hint="eastAsia" w:ascii="方正仿宋简体" w:eastAsia="方正仿宋简体"/>
          <w:b/>
          <w:color w:val="000000" w:themeColor="text1"/>
        </w:rPr>
        <w:t>本次审核是基于抽样检查的原则，因此，不可能包含受审核方管理体系覆盖的所有场所、以及体系所涉及的全部活动。仍可能有未发现的不符合项存在于目前管理体系的运行中。</w:t>
      </w:r>
    </w:p>
    <w:p>
      <w:pPr>
        <w:tabs>
          <w:tab w:val="left" w:pos="645"/>
        </w:tabs>
        <w:spacing w:line="360" w:lineRule="auto"/>
        <w:ind w:left="-850" w:leftChars="-405"/>
        <w:rPr>
          <w:b/>
          <w:color w:val="000000" w:themeColor="text1"/>
          <w:sz w:val="14"/>
          <w:szCs w:val="14"/>
        </w:rPr>
      </w:pPr>
      <w:r>
        <w:rPr>
          <w:rFonts w:hint="eastAsia"/>
          <w:b/>
          <w:color w:val="000000" w:themeColor="text1"/>
          <w:sz w:val="26"/>
          <w:szCs w:val="26"/>
        </w:rPr>
        <w:t>十二、不符合项纠正措施要求</w:t>
      </w:r>
    </w:p>
    <w:p>
      <w:pPr>
        <w:spacing w:line="360" w:lineRule="auto"/>
        <w:ind w:left="-850" w:leftChars="-405" w:firstLine="422" w:firstLineChars="200"/>
        <w:rPr>
          <w:b/>
          <w:color w:val="000000" w:themeColor="text1"/>
        </w:rPr>
      </w:pPr>
      <w:r>
        <w:rPr>
          <w:rFonts w:hint="eastAsia"/>
          <w:b/>
          <w:color w:val="000000" w:themeColor="text1"/>
        </w:rPr>
        <w:t>一般不符合报告在天/严重不符合在天针对不符合原因制定并实施纠正措施。验证方式见不符合项报告。</w:t>
      </w:r>
    </w:p>
    <w:p>
      <w:pPr>
        <w:spacing w:beforeLines="50" w:afterLines="50"/>
        <w:ind w:left="1" w:leftChars="-405" w:hanging="851" w:hangingChars="326"/>
        <w:rPr>
          <w:b/>
          <w:color w:val="000000" w:themeColor="text1"/>
          <w:sz w:val="26"/>
          <w:szCs w:val="26"/>
        </w:rPr>
      </w:pPr>
      <w:r>
        <w:rPr>
          <w:rFonts w:hint="eastAsia"/>
          <w:b/>
          <w:color w:val="000000" w:themeColor="text1"/>
          <w:sz w:val="26"/>
          <w:szCs w:val="26"/>
        </w:rPr>
        <w:t>十三、</w:t>
      </w:r>
      <w:r>
        <w:rPr>
          <w:rFonts w:hint="eastAsia" w:ascii="仿宋" w:hAnsi="仿宋" w:eastAsia="仿宋" w:cstheme="minorBidi"/>
          <w:color w:val="000000" w:themeColor="text1"/>
          <w:kern w:val="24"/>
          <w:sz w:val="28"/>
          <w:szCs w:val="28"/>
        </w:rPr>
        <w:t xml:space="preserve"> 任何影响审核方案的重要事项</w:t>
      </w:r>
      <w:r>
        <w:rPr>
          <w:rFonts w:hint="eastAsia"/>
          <w:b/>
          <w:color w:val="000000" w:themeColor="text1"/>
          <w:sz w:val="26"/>
          <w:szCs w:val="26"/>
        </w:rPr>
        <w:t>：</w:t>
      </w:r>
    </w:p>
    <w:p>
      <w:pPr>
        <w:spacing w:beforeLines="50" w:afterLines="50"/>
        <w:ind w:left="-326" w:leftChars="-405" w:hanging="524" w:hangingChars="326"/>
        <w:rPr>
          <w:b/>
          <w:color w:val="000000" w:themeColor="text1"/>
          <w:sz w:val="16"/>
          <w:szCs w:val="16"/>
        </w:rPr>
      </w:pPr>
    </w:p>
    <w:p>
      <w:pPr>
        <w:snapToGrid w:val="0"/>
        <w:rPr>
          <w:b/>
          <w:bCs/>
          <w:color w:val="000000" w:themeColor="text1"/>
          <w:szCs w:val="28"/>
          <w:u w:val="single"/>
        </w:rPr>
      </w:pPr>
    </w:p>
    <w:p>
      <w:pPr>
        <w:snapToGrid w:val="0"/>
        <w:spacing w:afterLines="50" w:line="360" w:lineRule="auto"/>
        <w:ind w:left="1" w:leftChars="-405" w:hanging="851" w:hangingChars="326"/>
        <w:rPr>
          <w:b/>
          <w:color w:val="000000" w:themeColor="text1"/>
          <w:sz w:val="16"/>
          <w:szCs w:val="16"/>
        </w:rPr>
      </w:pPr>
      <w:r>
        <w:rPr>
          <w:rFonts w:hint="eastAsia"/>
          <w:b/>
          <w:color w:val="000000" w:themeColor="text1"/>
          <w:sz w:val="26"/>
          <w:szCs w:val="26"/>
        </w:rPr>
        <w:t>十四、审核组签字</w:t>
      </w:r>
    </w:p>
    <w:p>
      <w:pPr>
        <w:snapToGrid w:val="0"/>
        <w:spacing w:afterLines="50" w:line="360" w:lineRule="auto"/>
        <w:ind w:left="1" w:leftChars="-32" w:hanging="68" w:hangingChars="26"/>
        <w:rPr>
          <w:b/>
          <w:color w:val="000000" w:themeColor="text1"/>
          <w:sz w:val="26"/>
          <w:szCs w:val="26"/>
        </w:rPr>
      </w:pPr>
      <w:r>
        <w:rPr>
          <w:rFonts w:hint="eastAsia"/>
          <w:b/>
          <w:color w:val="000000" w:themeColor="text1"/>
          <w:sz w:val="26"/>
          <w:szCs w:val="26"/>
        </w:rPr>
        <w:t>审核组组长（签名）：</w:t>
      </w:r>
    </w:p>
    <w:p>
      <w:pPr>
        <w:snapToGrid w:val="0"/>
        <w:spacing w:beforeLines="50" w:line="360" w:lineRule="auto"/>
        <w:ind w:firstLine="527" w:firstLineChars="250"/>
        <w:rPr>
          <w:b/>
          <w:color w:val="000000" w:themeColor="text1"/>
        </w:rPr>
      </w:pPr>
    </w:p>
    <w:p>
      <w:pPr>
        <w:snapToGrid w:val="0"/>
        <w:spacing w:afterLines="50" w:line="360" w:lineRule="auto"/>
        <w:ind w:left="1" w:leftChars="-32" w:hanging="68" w:hangingChars="26"/>
        <w:rPr>
          <w:b/>
          <w:color w:val="000000" w:themeColor="text1"/>
          <w:sz w:val="26"/>
          <w:szCs w:val="26"/>
        </w:rPr>
      </w:pPr>
      <w:r>
        <w:rPr>
          <w:rFonts w:hint="eastAsia"/>
          <w:b/>
          <w:color w:val="000000" w:themeColor="text1"/>
          <w:sz w:val="26"/>
          <w:szCs w:val="26"/>
        </w:rPr>
        <w:t>审核组组员（签名）：</w:t>
      </w:r>
    </w:p>
    <w:p>
      <w:pPr>
        <w:snapToGrid w:val="0"/>
        <w:spacing w:line="360" w:lineRule="auto"/>
        <w:ind w:firstLine="3080" w:firstLineChars="1461"/>
        <w:rPr>
          <w:b/>
          <w:color w:val="000000" w:themeColor="text1"/>
          <w:sz w:val="16"/>
          <w:szCs w:val="16"/>
        </w:rPr>
      </w:pPr>
      <w:r>
        <w:rPr>
          <w:rFonts w:hint="eastAsia"/>
          <w:b/>
          <w:color w:val="000000" w:themeColor="text1"/>
        </w:rPr>
        <w:t>日期</w:t>
      </w:r>
      <w:r>
        <w:rPr>
          <w:rFonts w:hint="eastAsia" w:asciiTheme="minorEastAsia" w:hAnsiTheme="minorEastAsia" w:eastAsiaTheme="minorEastAsia"/>
          <w:b/>
          <w:color w:val="000000" w:themeColor="text1"/>
        </w:rPr>
        <w:t>年   月   日</w:t>
      </w:r>
    </w:p>
    <w:p>
      <w:pPr>
        <w:spacing w:beforeLines="50" w:afterLines="50"/>
        <w:ind w:left="1" w:leftChars="-405" w:hanging="851" w:hangingChars="326"/>
        <w:rPr>
          <w:b/>
          <w:color w:val="000000" w:themeColor="text1"/>
          <w:sz w:val="26"/>
          <w:szCs w:val="26"/>
        </w:rPr>
      </w:pPr>
      <w:r>
        <w:rPr>
          <w:rFonts w:hint="eastAsia"/>
          <w:b/>
          <w:color w:val="000000" w:themeColor="text1"/>
          <w:sz w:val="26"/>
          <w:szCs w:val="26"/>
        </w:rPr>
        <w:t>十五、纠正措施验证结论：</w:t>
      </w:r>
    </w:p>
    <w:p>
      <w:pPr>
        <w:snapToGrid w:val="0"/>
        <w:spacing w:beforeLines="50" w:afterLines="50" w:line="360" w:lineRule="auto"/>
        <w:ind w:leftChars="-202" w:hanging="424" w:hangingChars="201"/>
        <w:rPr>
          <w:b/>
          <w:color w:val="000000" w:themeColor="text1"/>
          <w:sz w:val="26"/>
          <w:szCs w:val="26"/>
        </w:rPr>
      </w:pPr>
      <w:r>
        <w:rPr>
          <w:rFonts w:hint="eastAsia"/>
          <w:b/>
          <w:bCs/>
          <w:color w:val="000000" w:themeColor="text1"/>
          <w:szCs w:val="21"/>
        </w:rPr>
        <w:t>1.  审核中发现的</w:t>
      </w:r>
      <w:r>
        <w:rPr>
          <w:rFonts w:hint="eastAsia"/>
          <w:b/>
          <w:color w:val="000000"/>
          <w:spacing w:val="-10"/>
          <w:szCs w:val="21"/>
        </w:rPr>
        <w:t>■</w:t>
      </w:r>
      <w:r>
        <w:rPr>
          <w:rFonts w:hint="eastAsia"/>
          <w:b/>
          <w:color w:val="000000" w:themeColor="text1"/>
          <w:szCs w:val="21"/>
        </w:rPr>
        <w:t>QMS( 1  )个一般不符合，(  )个严重不符合，</w:t>
      </w:r>
      <w:r>
        <w:rPr>
          <w:rFonts w:hint="eastAsia"/>
          <w:b/>
          <w:color w:val="000000" w:themeColor="text1"/>
          <w:spacing w:val="-10"/>
          <w:szCs w:val="21"/>
          <w:lang w:eastAsia="zh-CN"/>
        </w:rPr>
        <w:t>☑</w:t>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pPr>
        <w:spacing w:line="360" w:lineRule="auto"/>
        <w:rPr>
          <w:b/>
          <w:color w:val="000000" w:themeColor="text1"/>
          <w:szCs w:val="21"/>
        </w:rPr>
      </w:pPr>
      <w:bookmarkStart w:id="22" w:name="_GoBack"/>
      <w:r>
        <w:rPr>
          <w:rFonts w:hint="eastAsia"/>
          <w:b/>
          <w:bCs/>
          <w:color w:val="000000" w:themeColor="text1"/>
          <w:szCs w:val="21"/>
        </w:rPr>
        <w:drawing>
          <wp:anchor distT="0" distB="0" distL="114300" distR="114300" simplePos="0" relativeHeight="251662336" behindDoc="0" locked="0" layoutInCell="1" allowOverlap="1">
            <wp:simplePos x="0" y="0"/>
            <wp:positionH relativeFrom="column">
              <wp:posOffset>-2257425</wp:posOffset>
            </wp:positionH>
            <wp:positionV relativeFrom="paragraph">
              <wp:posOffset>1080770</wp:posOffset>
            </wp:positionV>
            <wp:extent cx="9055100" cy="6101715"/>
            <wp:effectExtent l="0" t="0" r="6985" b="0"/>
            <wp:wrapNone/>
            <wp:docPr id="4" name="图片 4" descr="6e1ba98e7b6d4864beff43743d01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e1ba98e7b6d4864beff43743d01c16"/>
                    <pic:cNvPicPr>
                      <a:picLocks noChangeAspect="1"/>
                    </pic:cNvPicPr>
                  </pic:nvPicPr>
                  <pic:blipFill>
                    <a:blip r:embed="rId7"/>
                    <a:stretch>
                      <a:fillRect/>
                    </a:stretch>
                  </pic:blipFill>
                  <pic:spPr>
                    <a:xfrm rot="5400000">
                      <a:off x="0" y="0"/>
                      <a:ext cx="9055100" cy="6101715"/>
                    </a:xfrm>
                    <a:prstGeom prst="rect">
                      <a:avLst/>
                    </a:prstGeom>
                  </pic:spPr>
                </pic:pic>
              </a:graphicData>
            </a:graphic>
          </wp:anchor>
        </w:drawing>
      </w:r>
      <w:bookmarkEnd w:id="22"/>
      <w:r>
        <w:rPr>
          <w:rFonts w:hint="eastAsia"/>
          <w:b/>
          <w:bCs/>
          <w:color w:val="000000" w:themeColor="text1"/>
          <w:szCs w:val="21"/>
        </w:rPr>
        <w:t>审核中发现的</w:t>
      </w:r>
      <w:r>
        <w:rPr>
          <w:rFonts w:hint="eastAsia"/>
          <w:b/>
          <w:color w:val="000000"/>
          <w:spacing w:val="-10"/>
          <w:szCs w:val="21"/>
        </w:rPr>
        <w:t>■</w:t>
      </w:r>
      <w:r>
        <w:rPr>
          <w:rFonts w:hint="eastAsia"/>
          <w:b/>
          <w:color w:val="000000" w:themeColor="text1"/>
          <w:szCs w:val="21"/>
        </w:rPr>
        <w:t>EMS(  1 )个一般不符合，(  )个严重不符合，</w:t>
      </w:r>
      <w:r>
        <w:rPr>
          <w:rFonts w:hint="eastAsia"/>
          <w:b/>
          <w:color w:val="000000" w:themeColor="text1"/>
          <w:spacing w:val="-10"/>
          <w:szCs w:val="21"/>
          <w:lang w:eastAsia="zh-CN"/>
        </w:rPr>
        <w:t>☑</w:t>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pPr>
        <w:spacing w:line="360" w:lineRule="auto"/>
        <w:rPr>
          <w:b/>
          <w:color w:val="000000" w:themeColor="text1"/>
          <w:szCs w:val="21"/>
        </w:rPr>
      </w:pPr>
      <w:r>
        <w:rPr>
          <w:rFonts w:hint="eastAsia"/>
          <w:b/>
          <w:bCs/>
          <w:color w:val="000000" w:themeColor="text1"/>
          <w:szCs w:val="21"/>
        </w:rPr>
        <w:t>审核中发现的</w:t>
      </w:r>
      <w:r>
        <w:rPr>
          <w:rFonts w:hint="eastAsia"/>
          <w:b/>
          <w:color w:val="000000"/>
          <w:spacing w:val="-10"/>
          <w:szCs w:val="21"/>
        </w:rPr>
        <w:t>■</w:t>
      </w:r>
      <w:r>
        <w:rPr>
          <w:rFonts w:hint="eastAsia"/>
          <w:b/>
          <w:color w:val="000000" w:themeColor="text1"/>
          <w:szCs w:val="21"/>
        </w:rPr>
        <w:t>OHSMS(  1 )个一般不符合，(  )个严重不符合，</w:t>
      </w:r>
      <w:r>
        <w:rPr>
          <w:rFonts w:hint="eastAsia"/>
          <w:b/>
          <w:color w:val="000000" w:themeColor="text1"/>
          <w:spacing w:val="-10"/>
          <w:szCs w:val="21"/>
          <w:lang w:eastAsia="zh-CN"/>
        </w:rPr>
        <w:t>☑</w:t>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pPr>
        <w:spacing w:line="360" w:lineRule="auto"/>
        <w:rPr>
          <w:b/>
          <w:color w:val="000000" w:themeColor="text1"/>
          <w:szCs w:val="21"/>
          <w:u w:val="single"/>
        </w:rPr>
      </w:pPr>
      <w:r>
        <w:rPr>
          <w:rFonts w:hint="eastAsia"/>
          <w:b/>
          <w:color w:val="000000" w:themeColor="text1"/>
          <w:szCs w:val="21"/>
        </w:rPr>
        <w:t>存在问题说明及意见：</w:t>
      </w:r>
    </w:p>
    <w:p>
      <w:pPr>
        <w:spacing w:afterLines="50"/>
        <w:ind w:firstLine="422" w:firstLineChars="200"/>
        <w:rPr>
          <w:b/>
          <w:color w:val="000000" w:themeColor="text1"/>
          <w:szCs w:val="21"/>
        </w:rPr>
      </w:pPr>
    </w:p>
    <w:p>
      <w:pPr>
        <w:spacing w:afterLines="50"/>
        <w:ind w:leftChars="-202" w:hanging="424" w:hangingChars="201"/>
        <w:rPr>
          <w:rFonts w:ascii="宋体" w:hAnsi="宋体"/>
          <w:b/>
          <w:color w:val="000000" w:themeColor="text1"/>
          <w:szCs w:val="21"/>
        </w:rPr>
      </w:pPr>
      <w:r>
        <w:rPr>
          <w:rFonts w:hint="eastAsia"/>
          <w:b/>
          <w:color w:val="000000" w:themeColor="text1"/>
          <w:szCs w:val="21"/>
        </w:rPr>
        <w:t>2. 验证结论</w:t>
      </w:r>
      <w:r>
        <w:rPr>
          <w:rFonts w:hint="eastAsia" w:ascii="宋体" w:hAnsi="宋体"/>
          <w:b/>
          <w:color w:val="000000" w:themeColor="text1"/>
          <w:szCs w:val="21"/>
        </w:rPr>
        <w:t>:</w:t>
      </w:r>
    </w:p>
    <w:p>
      <w:pPr>
        <w:ind w:firstLine="760" w:firstLineChars="400"/>
        <w:rPr>
          <w:b/>
          <w:color w:val="000000" w:themeColor="text1"/>
          <w:szCs w:val="21"/>
        </w:rPr>
      </w:pPr>
      <w:r>
        <w:rPr>
          <w:rFonts w:hint="eastAsia" w:ascii="MS Mincho" w:hAnsi="MS Mincho" w:eastAsia="MS Mincho" w:cs="MS Mincho"/>
          <w:b/>
          <w:color w:val="000000" w:themeColor="text1"/>
          <w:spacing w:val="-10"/>
          <w:szCs w:val="21"/>
        </w:rPr>
        <w:t>☑</w:t>
      </w:r>
      <w:r>
        <w:rPr>
          <w:rFonts w:hint="eastAsia"/>
          <w:b/>
          <w:color w:val="000000" w:themeColor="text1"/>
          <w:szCs w:val="21"/>
        </w:rPr>
        <w:t>推荐注册□不推荐注册</w:t>
      </w:r>
      <w:r>
        <w:rPr>
          <w:rFonts w:hint="eastAsia"/>
          <w:b/>
          <w:color w:val="000000" w:themeColor="text1"/>
          <w:spacing w:val="-10"/>
          <w:szCs w:val="21"/>
        </w:rPr>
        <w:t>□推荐重新认证</w:t>
      </w:r>
      <w:r>
        <w:rPr>
          <w:rFonts w:hint="eastAsia"/>
          <w:b/>
          <w:color w:val="000000" w:themeColor="text1"/>
          <w:szCs w:val="21"/>
        </w:rPr>
        <w:t>注册（再认证填写）</w:t>
      </w:r>
    </w:p>
    <w:p>
      <w:pPr>
        <w:spacing w:beforeLines="100" w:afterLines="50"/>
        <w:rPr>
          <w:b/>
          <w:color w:val="000000" w:themeColor="text1"/>
          <w:szCs w:val="21"/>
        </w:rPr>
      </w:pPr>
      <w:r>
        <w:rPr>
          <w:rFonts w:hint="eastAsia"/>
          <w:b/>
          <w:color w:val="000000" w:themeColor="text1"/>
          <w:szCs w:val="21"/>
        </w:rPr>
        <w:t>组长签字:                               日期:         年  月  日</w:t>
      </w:r>
    </w:p>
    <w:p>
      <w:pPr>
        <w:spacing w:line="360" w:lineRule="auto"/>
        <w:ind w:leftChars="-405" w:hanging="850" w:hangingChars="403"/>
        <w:rPr>
          <w:b/>
          <w:color w:val="000000" w:themeColor="text1"/>
          <w:sz w:val="26"/>
          <w:szCs w:val="26"/>
        </w:rPr>
      </w:pPr>
      <w:r>
        <w:rPr>
          <w:rFonts w:hint="eastAsia"/>
          <w:b/>
          <w:color w:val="000000" w:themeColor="text1"/>
        </w:rPr>
        <w:t>十六、</w:t>
      </w:r>
      <w:r>
        <w:rPr>
          <w:rFonts w:hint="eastAsia"/>
          <w:b/>
          <w:color w:val="000000" w:themeColor="text1"/>
          <w:sz w:val="26"/>
          <w:szCs w:val="26"/>
        </w:rPr>
        <w:t>认证评定与批准</w:t>
      </w:r>
    </w:p>
    <w:p>
      <w:pPr>
        <w:numPr>
          <w:ilvl w:val="0"/>
          <w:numId w:val="9"/>
        </w:numPr>
        <w:spacing w:line="360" w:lineRule="auto"/>
        <w:ind w:left="0" w:leftChars="-405" w:hanging="850" w:hangingChars="403"/>
        <w:rPr>
          <w:b/>
          <w:color w:val="000000" w:themeColor="text1"/>
        </w:rPr>
      </w:pPr>
      <w:r>
        <w:rPr>
          <w:rFonts w:hint="eastAsia"/>
          <w:b/>
          <w:color w:val="000000" w:themeColor="text1"/>
        </w:rPr>
        <w:t>技术委员会评定结论：</w:t>
      </w:r>
      <w:r>
        <w:rPr>
          <w:rFonts w:hint="eastAsia"/>
          <w:b/>
          <w:color w:val="000000" w:themeColor="text1"/>
          <w:szCs w:val="21"/>
        </w:rPr>
        <w:t>□</w:t>
      </w:r>
      <w:r>
        <w:rPr>
          <w:rFonts w:hint="eastAsia"/>
          <w:b/>
          <w:color w:val="000000" w:themeColor="text1"/>
        </w:rPr>
        <w:t>同意注册</w:t>
      </w:r>
      <w:r>
        <w:rPr>
          <w:rFonts w:hint="eastAsia"/>
          <w:b/>
          <w:color w:val="000000" w:themeColor="text1"/>
          <w:szCs w:val="21"/>
        </w:rPr>
        <w:t>□</w:t>
      </w:r>
      <w:r>
        <w:rPr>
          <w:rFonts w:hint="eastAsia"/>
          <w:b/>
          <w:color w:val="000000" w:themeColor="text1"/>
        </w:rPr>
        <w:t>不同意注册</w:t>
      </w:r>
    </w:p>
    <w:p>
      <w:pPr>
        <w:spacing w:line="360" w:lineRule="auto"/>
        <w:ind w:leftChars="-405" w:hanging="850" w:hangingChars="403"/>
        <w:rPr>
          <w:b/>
          <w:color w:val="000000" w:themeColor="text1"/>
        </w:rPr>
      </w:pPr>
      <w:r>
        <w:rPr>
          <w:rFonts w:hint="eastAsia"/>
          <w:b/>
          <w:color w:val="000000" w:themeColor="text1"/>
        </w:rPr>
        <w:t>认证评定负责人：日期：年月日</w:t>
      </w:r>
    </w:p>
    <w:p>
      <w:pPr>
        <w:numPr>
          <w:ilvl w:val="0"/>
          <w:numId w:val="9"/>
        </w:numPr>
        <w:spacing w:line="360" w:lineRule="auto"/>
        <w:ind w:left="0" w:leftChars="-405" w:hanging="850" w:hangingChars="403"/>
        <w:rPr>
          <w:b/>
          <w:color w:val="000000" w:themeColor="text1"/>
        </w:rPr>
      </w:pPr>
      <w:r>
        <w:rPr>
          <w:rFonts w:hint="eastAsia"/>
          <w:b/>
          <w:color w:val="000000" w:themeColor="text1"/>
        </w:rPr>
        <w:t>批准结论：</w:t>
      </w:r>
      <w:r>
        <w:rPr>
          <w:rFonts w:hint="eastAsia"/>
          <w:b/>
          <w:color w:val="000000" w:themeColor="text1"/>
          <w:szCs w:val="21"/>
        </w:rPr>
        <w:t>□</w:t>
      </w:r>
      <w:r>
        <w:rPr>
          <w:rFonts w:hint="eastAsia"/>
          <w:b/>
          <w:color w:val="000000" w:themeColor="text1"/>
        </w:rPr>
        <w:t>同意注册</w:t>
      </w:r>
      <w:r>
        <w:rPr>
          <w:rFonts w:hint="eastAsia"/>
          <w:b/>
          <w:color w:val="000000" w:themeColor="text1"/>
          <w:szCs w:val="21"/>
        </w:rPr>
        <w:t>□</w:t>
      </w:r>
      <w:r>
        <w:rPr>
          <w:rFonts w:hint="eastAsia"/>
          <w:b/>
          <w:color w:val="000000" w:themeColor="text1"/>
        </w:rPr>
        <w:t>不同意注册</w:t>
      </w:r>
    </w:p>
    <w:p>
      <w:pPr>
        <w:spacing w:line="360" w:lineRule="auto"/>
        <w:ind w:leftChars="-405" w:hanging="850" w:hangingChars="403"/>
        <w:rPr>
          <w:b/>
          <w:color w:val="000000" w:themeColor="text1"/>
        </w:rPr>
      </w:pPr>
      <w:r>
        <w:rPr>
          <w:rFonts w:hint="eastAsia"/>
          <w:b/>
          <w:color w:val="000000" w:themeColor="text1"/>
        </w:rPr>
        <w:t>批准人（总经理）：日期：年月日</w:t>
      </w:r>
    </w:p>
    <w:p>
      <w:pPr>
        <w:numPr>
          <w:ilvl w:val="0"/>
          <w:numId w:val="10"/>
        </w:numPr>
        <w:snapToGrid w:val="0"/>
        <w:spacing w:line="360" w:lineRule="auto"/>
        <w:ind w:left="202" w:leftChars="-405" w:hanging="1052" w:hangingChars="403"/>
        <w:rPr>
          <w:rFonts w:hint="eastAsia"/>
          <w:b/>
          <w:color w:val="000000" w:themeColor="text1"/>
          <w:szCs w:val="21"/>
        </w:rPr>
      </w:pPr>
      <w:r>
        <w:rPr>
          <w:rFonts w:hint="eastAsia"/>
          <w:b/>
          <w:bCs/>
          <w:color w:val="000000" w:themeColor="text1"/>
          <w:sz w:val="26"/>
          <w:szCs w:val="26"/>
        </w:rPr>
        <w:t>与末次会议结论不同处的说明和其他说明</w:t>
      </w:r>
      <w:r>
        <w:rPr>
          <w:rFonts w:hint="eastAsia"/>
          <w:b/>
          <w:color w:val="000000" w:themeColor="text1"/>
          <w:sz w:val="26"/>
          <w:szCs w:val="26"/>
        </w:rPr>
        <w:t>：</w:t>
      </w:r>
      <w:r>
        <w:rPr>
          <w:rFonts w:hint="eastAsia"/>
          <w:b/>
          <w:color w:val="000000" w:themeColor="text1"/>
          <w:szCs w:val="21"/>
        </w:rPr>
        <w:t>(技术委员会填写)</w:t>
      </w:r>
    </w:p>
    <w:p>
      <w:pPr>
        <w:numPr>
          <w:ilvl w:val="0"/>
          <w:numId w:val="10"/>
        </w:numPr>
        <w:snapToGrid w:val="0"/>
        <w:spacing w:line="360" w:lineRule="auto"/>
        <w:ind w:left="202" w:leftChars="-405" w:hanging="1052" w:hangingChars="403"/>
        <w:rPr>
          <w:b/>
          <w:color w:val="000000" w:themeColor="text1"/>
          <w:sz w:val="26"/>
          <w:szCs w:val="26"/>
        </w:rPr>
      </w:pPr>
      <w:r>
        <w:rPr>
          <w:rFonts w:hint="eastAsia"/>
          <w:b/>
          <w:color w:val="000000" w:themeColor="text1"/>
          <w:sz w:val="26"/>
          <w:szCs w:val="26"/>
        </w:rPr>
        <w:t>审核报告的发放范围</w:t>
      </w:r>
      <w:r>
        <w:rPr>
          <w:rFonts w:hint="eastAsia"/>
          <w:b/>
          <w:color w:val="000000" w:themeColor="text1"/>
          <w:sz w:val="16"/>
          <w:szCs w:val="16"/>
        </w:rPr>
        <w:t>t</w:t>
      </w:r>
      <w:r>
        <w:rPr>
          <w:rFonts w:hint="eastAsia"/>
          <w:b/>
          <w:color w:val="000000" w:themeColor="text1"/>
          <w:sz w:val="26"/>
          <w:szCs w:val="26"/>
        </w:rPr>
        <w:t>：</w:t>
      </w:r>
    </w:p>
    <w:p>
      <w:pPr>
        <w:snapToGrid w:val="0"/>
        <w:spacing w:beforeLines="20" w:afterLines="20" w:line="240" w:lineRule="exact"/>
        <w:ind w:left="-164" w:leftChars="-78" w:firstLine="162" w:firstLineChars="77"/>
        <w:rPr>
          <w:b/>
          <w:color w:val="000000" w:themeColor="text1"/>
        </w:rPr>
      </w:pPr>
      <w:r>
        <w:rPr>
          <w:rFonts w:hint="eastAsia"/>
          <w:b/>
          <w:color w:val="000000" w:themeColor="text1"/>
        </w:rPr>
        <w:t>受审核方(含附件)：</w:t>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 xml:space="preserve">                           1份</w:t>
      </w:r>
    </w:p>
    <w:p>
      <w:pPr>
        <w:snapToGrid w:val="0"/>
        <w:spacing w:beforeLines="20" w:afterLines="20" w:line="240" w:lineRule="exact"/>
        <w:ind w:left="-164" w:leftChars="-78" w:firstLine="162" w:firstLineChars="77"/>
        <w:rPr>
          <w:b/>
          <w:color w:val="000000" w:themeColor="text1"/>
        </w:rPr>
      </w:pPr>
      <w:r>
        <w:rPr>
          <w:rFonts w:hint="eastAsia"/>
          <w:b/>
          <w:color w:val="000000" w:themeColor="text1"/>
        </w:rPr>
        <w:t>北京国标联合认证有限公司：1份</w:t>
      </w:r>
    </w:p>
    <w:p>
      <w:pPr>
        <w:snapToGrid w:val="0"/>
        <w:spacing w:beforeLines="50" w:afterLines="50" w:line="240" w:lineRule="exact"/>
        <w:ind w:left="1" w:leftChars="-405" w:hanging="851" w:hangingChars="326"/>
        <w:rPr>
          <w:rFonts w:ascii="宋体" w:hAnsi="宋体"/>
          <w:b/>
          <w:color w:val="000000" w:themeColor="text1"/>
          <w:sz w:val="26"/>
          <w:szCs w:val="26"/>
        </w:rPr>
      </w:pPr>
      <w:r>
        <w:rPr>
          <w:rFonts w:hint="eastAsia" w:ascii="宋体" w:hAnsi="宋体"/>
          <w:b/>
          <w:color w:val="000000" w:themeColor="text1"/>
          <w:sz w:val="26"/>
          <w:szCs w:val="26"/>
        </w:rPr>
        <w:t>十九、附件</w:t>
      </w:r>
    </w:p>
    <w:p>
      <w:pPr>
        <w:snapToGrid w:val="0"/>
        <w:ind w:left="-164" w:leftChars="-78" w:firstLine="162" w:firstLineChars="77"/>
        <w:rPr>
          <w:b/>
          <w:color w:val="000000" w:themeColor="text1"/>
          <w:sz w:val="16"/>
          <w:szCs w:val="16"/>
        </w:rPr>
      </w:pPr>
      <w:r>
        <w:rPr>
          <w:b/>
          <w:color w:val="000000" w:themeColor="text1"/>
          <w:szCs w:val="21"/>
        </w:rPr>
        <w:t xml:space="preserve">1. </w:t>
      </w:r>
      <w:r>
        <w:rPr>
          <w:rFonts w:hAnsi="宋体"/>
          <w:b/>
          <w:bCs/>
          <w:color w:val="000000" w:themeColor="text1"/>
          <w:szCs w:val="28"/>
        </w:rPr>
        <w:t>审核计划（含项目清单）</w:t>
      </w:r>
    </w:p>
    <w:p>
      <w:pPr>
        <w:ind w:left="-164" w:leftChars="-78" w:firstLine="162" w:firstLineChars="77"/>
        <w:rPr>
          <w:rFonts w:hAnsi="宋体"/>
          <w:b/>
          <w:bCs/>
          <w:color w:val="000000" w:themeColor="text1"/>
          <w:szCs w:val="28"/>
        </w:rPr>
      </w:pPr>
      <w:r>
        <w:rPr>
          <w:b/>
          <w:bCs/>
          <w:color w:val="000000" w:themeColor="text1"/>
          <w:szCs w:val="28"/>
        </w:rPr>
        <w:t xml:space="preserve">2. </w:t>
      </w:r>
      <w:r>
        <w:rPr>
          <w:rFonts w:hAnsi="宋体"/>
          <w:b/>
          <w:bCs/>
          <w:color w:val="000000" w:themeColor="text1"/>
          <w:szCs w:val="28"/>
        </w:rPr>
        <w:t>不符合报告</w:t>
      </w:r>
      <w:r>
        <w:rPr>
          <w:b/>
          <w:bCs/>
          <w:color w:val="000000" w:themeColor="text1"/>
          <w:szCs w:val="28"/>
        </w:rPr>
        <w:t>/</w:t>
      </w:r>
      <w:r>
        <w:rPr>
          <w:rFonts w:hAnsi="宋体"/>
          <w:b/>
          <w:bCs/>
          <w:color w:val="000000" w:themeColor="text1"/>
          <w:szCs w:val="28"/>
        </w:rPr>
        <w:t>问题清单</w:t>
      </w:r>
    </w:p>
    <w:p>
      <w:pPr>
        <w:ind w:left="-164" w:leftChars="-78" w:firstLine="162" w:firstLineChars="77"/>
        <w:rPr>
          <w:rFonts w:ascii="宋体" w:hAnsi="宋体"/>
          <w:b/>
          <w:bCs/>
          <w:color w:val="000000" w:themeColor="text1"/>
          <w:szCs w:val="28"/>
        </w:rPr>
      </w:pPr>
      <w:r>
        <w:rPr>
          <w:b/>
          <w:bCs/>
          <w:color w:val="000000" w:themeColor="text1"/>
          <w:szCs w:val="28"/>
        </w:rPr>
        <w:t xml:space="preserve">3. </w:t>
      </w:r>
      <w:r>
        <w:rPr>
          <w:rFonts w:hint="eastAsia" w:ascii="宋体" w:hAnsi="宋体"/>
          <w:b/>
          <w:bCs/>
          <w:color w:val="000000" w:themeColor="text1"/>
          <w:szCs w:val="28"/>
        </w:rPr>
        <w:t>其他</w:t>
      </w:r>
    </w:p>
    <w:p>
      <w:pPr>
        <w:ind w:left="1" w:leftChars="-405" w:hanging="851" w:hangingChars="326"/>
        <w:rPr>
          <w:rFonts w:ascii="宋体" w:hAnsi="宋体"/>
          <w:b/>
          <w:color w:val="000000" w:themeColor="text1"/>
          <w:sz w:val="26"/>
          <w:szCs w:val="26"/>
        </w:rPr>
      </w:pPr>
      <w:r>
        <w:rPr>
          <w:rFonts w:hint="eastAsia" w:ascii="宋体" w:hAnsi="宋体"/>
          <w:b/>
          <w:color w:val="000000" w:themeColor="text1"/>
          <w:sz w:val="26"/>
          <w:szCs w:val="26"/>
        </w:rPr>
        <w:t>二十、填表说明：</w:t>
      </w:r>
    </w:p>
    <w:p>
      <w:pPr>
        <w:spacing w:line="360" w:lineRule="auto"/>
        <w:ind w:left="-163" w:leftChars="-405" w:hanging="687" w:hangingChars="326"/>
        <w:rPr>
          <w:b/>
          <w:bCs/>
          <w:color w:val="000000" w:themeColor="text1"/>
          <w:szCs w:val="21"/>
        </w:rPr>
      </w:pPr>
      <w:r>
        <w:rPr>
          <w:rFonts w:hint="eastAsia"/>
          <w:b/>
          <w:bCs/>
          <w:color w:val="000000" w:themeColor="text1"/>
          <w:szCs w:val="21"/>
        </w:rPr>
        <w:t>1. 本审核报告适用于单体系审核，也适用于多体系结合审核情况；</w:t>
      </w:r>
    </w:p>
    <w:p>
      <w:pPr>
        <w:spacing w:line="360" w:lineRule="auto"/>
        <w:ind w:left="-850" w:leftChars="-405"/>
        <w:rPr>
          <w:b/>
          <w:bCs/>
          <w:color w:val="000000" w:themeColor="text1"/>
          <w:szCs w:val="21"/>
        </w:rPr>
      </w:pPr>
      <w:r>
        <w:rPr>
          <w:rFonts w:hint="eastAsia"/>
          <w:b/>
          <w:bCs/>
          <w:color w:val="000000" w:themeColor="text1"/>
          <w:szCs w:val="21"/>
        </w:rPr>
        <w:t>2. 应依据审核任务书安排的管理体系领域（指：</w:t>
      </w:r>
      <w:r>
        <w:rPr>
          <w:rFonts w:hint="eastAsia"/>
          <w:b/>
          <w:color w:val="000000" w:themeColor="text1"/>
          <w:szCs w:val="21"/>
        </w:rPr>
        <w:t>QMS，  EMS，OHSMS</w:t>
      </w:r>
      <w:r>
        <w:rPr>
          <w:rFonts w:hint="eastAsia"/>
          <w:b/>
          <w:bCs/>
          <w:color w:val="000000" w:themeColor="text1"/>
          <w:szCs w:val="21"/>
        </w:rPr>
        <w:t>）和审核类型（指：二阶段、再认证，在相应的</w:t>
      </w:r>
      <w:r>
        <w:rPr>
          <w:rFonts w:hint="eastAsia"/>
          <w:b/>
          <w:color w:val="000000" w:themeColor="text1"/>
          <w:szCs w:val="21"/>
        </w:rPr>
        <w:t>□内划“√”；</w:t>
      </w:r>
    </w:p>
    <w:p>
      <w:pPr>
        <w:spacing w:line="360" w:lineRule="auto"/>
        <w:ind w:left="-163" w:leftChars="-405" w:hanging="687" w:hangingChars="326"/>
        <w:rPr>
          <w:b/>
          <w:bCs/>
          <w:color w:val="000000" w:themeColor="text1"/>
          <w:szCs w:val="21"/>
        </w:rPr>
      </w:pPr>
      <w:r>
        <w:rPr>
          <w:rFonts w:hint="eastAsia"/>
          <w:b/>
          <w:bCs/>
          <w:color w:val="000000" w:themeColor="text1"/>
          <w:szCs w:val="21"/>
        </w:rPr>
        <w:t xml:space="preserve">3. </w:t>
      </w:r>
      <w:r>
        <w:rPr>
          <w:rFonts w:hint="eastAsia"/>
          <w:b/>
          <w:color w:val="000000" w:themeColor="text1"/>
          <w:szCs w:val="21"/>
        </w:rPr>
        <w:t>“括号”内属于本报告基本要求的内容，除按要求填写外，未说明的一般应说明负面的发现和潜在的问题或审核组认为应该指明的情况，内容多时可附页；</w:t>
      </w:r>
    </w:p>
    <w:p>
      <w:pPr>
        <w:spacing w:line="360" w:lineRule="auto"/>
        <w:ind w:left="-163" w:leftChars="-405" w:hanging="687" w:hangingChars="326"/>
        <w:rPr>
          <w:b/>
          <w:bCs/>
          <w:color w:val="000000" w:themeColor="text1"/>
          <w:szCs w:val="21"/>
        </w:rPr>
      </w:pPr>
      <w:r>
        <w:rPr>
          <w:rFonts w:hint="eastAsia"/>
          <w:b/>
          <w:color w:val="000000" w:themeColor="text1"/>
          <w:szCs w:val="21"/>
        </w:rPr>
        <w:t>4. 公正性声明和审核报告签字处需本人亲笔签名。</w:t>
      </w:r>
    </w:p>
    <w:p>
      <w:pPr>
        <w:spacing w:line="360" w:lineRule="auto"/>
        <w:ind w:left="-163" w:leftChars="-405" w:hanging="687" w:hangingChars="326"/>
        <w:rPr>
          <w:b/>
          <w:bCs/>
          <w:color w:val="000000" w:themeColor="text1"/>
          <w:sz w:val="16"/>
          <w:szCs w:val="16"/>
        </w:rPr>
      </w:pPr>
      <w:r>
        <w:rPr>
          <w:rFonts w:hint="eastAsia"/>
          <w:b/>
          <w:bCs/>
          <w:color w:val="000000" w:themeColor="text1"/>
          <w:szCs w:val="21"/>
        </w:rPr>
        <w:t xml:space="preserve">5. 对子证书/证书附件要求的组织，除在末次会议上确定注册范围外，还须附上子证书/证书附件的文字表达。(可另附页) </w:t>
      </w:r>
    </w:p>
    <w:p>
      <w:pPr>
        <w:snapToGrid w:val="0"/>
        <w:spacing w:line="300" w:lineRule="auto"/>
        <w:ind w:firstLine="242" w:firstLineChars="100"/>
        <w:jc w:val="left"/>
        <w:rPr>
          <w:b/>
          <w:bCs/>
          <w:color w:val="000000" w:themeColor="text1"/>
          <w:w w:val="115"/>
        </w:rPr>
      </w:pPr>
    </w:p>
    <w:p>
      <w:pPr>
        <w:rPr>
          <w:rFonts w:ascii="宋体" w:hAnsi="宋体"/>
          <w:b/>
          <w:color w:val="000000" w:themeColor="text1"/>
          <w:sz w:val="26"/>
          <w:szCs w:val="26"/>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bookmarkStart w:id="21" w:name="_Hlk8555230"/>
    <w:r>
      <w:pict>
        <v:shape id="_x0000_s3073" o:spid="_x0000_s3073" o:spt="202" type="#_x0000_t202" style="position:absolute;left:0pt;margin-left:249.35pt;margin-top:5.25pt;height:20.2pt;width:164.1pt;z-index:251658240;mso-width-relative:page;mso-height-relative:page;" stroked="f" coordsize="21600,21600">
          <v:path/>
          <v:fill focussize="0,0"/>
          <v:stroke on="f" joinstyle="miter"/>
          <v:imagedata o:title=""/>
          <o:lock v:ext="edit"/>
          <v:textbox>
            <w:txbxContent>
              <w:p>
                <w:pPr>
                  <w:rPr>
                    <w:rFonts w:asciiTheme="minorEastAsia" w:hAnsiTheme="minorEastAsia" w:eastAsiaTheme="minorEastAsia"/>
                  </w:rPr>
                </w:pPr>
                <w:r>
                  <w:rPr>
                    <w:rFonts w:hint="eastAsia" w:asciiTheme="minorEastAsia" w:hAnsiTheme="minorEastAsia" w:eastAsiaTheme="minorEastAsia"/>
                    <w:sz w:val="18"/>
                    <w:szCs w:val="18"/>
                  </w:rPr>
                  <w:t>ISC-</w:t>
                </w:r>
                <w:r>
                  <w:rPr>
                    <w:rFonts w:asciiTheme="minorEastAsia" w:hAnsiTheme="minorEastAsia" w:eastAsiaTheme="minorEastAsia"/>
                    <w:sz w:val="18"/>
                    <w:szCs w:val="18"/>
                  </w:rPr>
                  <w:t>B</w:t>
                </w:r>
                <w:r>
                  <w:rPr>
                    <w:rFonts w:hint="eastAsia" w:asciiTheme="minorEastAsia" w:hAnsiTheme="minorEastAsia" w:eastAsiaTheme="minorEastAsia"/>
                    <w:sz w:val="18"/>
                    <w:szCs w:val="18"/>
                  </w:rPr>
                  <w:t>-</w:t>
                </w:r>
                <w:r>
                  <w:rPr>
                    <w:rFonts w:asciiTheme="minorEastAsia" w:hAnsiTheme="minorEastAsia" w:eastAsiaTheme="minorEastAsia"/>
                    <w:sz w:val="18"/>
                    <w:szCs w:val="18"/>
                  </w:rPr>
                  <w:t>I</w:t>
                </w:r>
                <w:r>
                  <w:rPr>
                    <w:rFonts w:hint="eastAsia" w:asciiTheme="minorEastAsia" w:hAnsiTheme="minorEastAsia" w:eastAsiaTheme="minorEastAsia"/>
                    <w:sz w:val="18"/>
                    <w:szCs w:val="18"/>
                  </w:rPr>
                  <w:t>-32管理体系审核报告(03版)</w:t>
                </w:r>
              </w:p>
            </w:txbxContent>
          </v:textbox>
        </v:shape>
      </w:pict>
    </w: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0" t="0" r="0" b="0"/>
          <wp:wrapTight wrapText="bothSides">
            <wp:wrapPolygon>
              <wp:start x="4012" y="0"/>
              <wp:lineTo x="0" y="3801"/>
              <wp:lineTo x="0" y="16152"/>
              <wp:lineTo x="5015" y="20903"/>
              <wp:lineTo x="6019" y="20903"/>
              <wp:lineTo x="15046" y="20903"/>
              <wp:lineTo x="16050" y="20903"/>
              <wp:lineTo x="21065" y="15202"/>
              <wp:lineTo x="21065" y="6651"/>
              <wp:lineTo x="20062" y="3801"/>
              <wp:lineTo x="16050" y="0"/>
              <wp:lineTo x="4012"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10210" cy="433070"/>
                  </a:xfrm>
                  <a:prstGeom prst="rect">
                    <a:avLst/>
                  </a:prstGeom>
                  <a:noFill/>
                  <a:ln>
                    <a:noFill/>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bookmarkEnd w:id="21"/>
  </w:p>
  <w:p>
    <w:pPr>
      <w:pStyle w:val="4"/>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694A"/>
    <w:multiLevelType w:val="multilevel"/>
    <w:tmpl w:val="0368694A"/>
    <w:lvl w:ilvl="0" w:tentative="0">
      <w:start w:val="1"/>
      <w:numFmt w:val="lowerLetter"/>
      <w:lvlText w:val="%1)"/>
      <w:lvlJc w:val="left"/>
      <w:pPr>
        <w:ind w:left="840" w:hanging="36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
    <w:nsid w:val="06C61639"/>
    <w:multiLevelType w:val="multilevel"/>
    <w:tmpl w:val="06C61639"/>
    <w:lvl w:ilvl="0" w:tentative="0">
      <w:start w:val="1"/>
      <w:numFmt w:val="lowerLetter"/>
      <w:lvlText w:val="%1)"/>
      <w:lvlJc w:val="left"/>
      <w:pPr>
        <w:ind w:left="840" w:hanging="36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2">
    <w:nsid w:val="17817755"/>
    <w:multiLevelType w:val="singleLevel"/>
    <w:tmpl w:val="17817755"/>
    <w:lvl w:ilvl="0" w:tentative="0">
      <w:start w:val="17"/>
      <w:numFmt w:val="chineseCounting"/>
      <w:suff w:val="nothing"/>
      <w:lvlText w:val="%1、"/>
      <w:lvlJc w:val="left"/>
      <w:rPr>
        <w:rFonts w:hint="eastAsia"/>
      </w:rPr>
    </w:lvl>
  </w:abstractNum>
  <w:abstractNum w:abstractNumId="3">
    <w:nsid w:val="2A9D76D3"/>
    <w:multiLevelType w:val="multilevel"/>
    <w:tmpl w:val="2A9D76D3"/>
    <w:lvl w:ilvl="0" w:tentative="0">
      <w:start w:val="1"/>
      <w:numFmt w:val="lowerLetter"/>
      <w:lvlText w:val="%1)"/>
      <w:lvlJc w:val="left"/>
      <w:pPr>
        <w:ind w:left="840" w:hanging="36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4">
    <w:nsid w:val="46AE3566"/>
    <w:multiLevelType w:val="multilevel"/>
    <w:tmpl w:val="46AE3566"/>
    <w:lvl w:ilvl="0" w:tentative="0">
      <w:start w:val="1"/>
      <w:numFmt w:val="lowerLetter"/>
      <w:lvlText w:val="%1)"/>
      <w:lvlJc w:val="left"/>
      <w:pPr>
        <w:ind w:left="840" w:hanging="36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5">
    <w:nsid w:val="488E20F7"/>
    <w:multiLevelType w:val="multilevel"/>
    <w:tmpl w:val="488E20F7"/>
    <w:lvl w:ilvl="0" w:tentative="0">
      <w:start w:val="1"/>
      <w:numFmt w:val="japaneseCounting"/>
      <w:lvlText w:val="%1、"/>
      <w:lvlJc w:val="left"/>
      <w:pPr>
        <w:ind w:left="540" w:hanging="5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F3329BA"/>
    <w:multiLevelType w:val="multilevel"/>
    <w:tmpl w:val="4F3329B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8A07CB7"/>
    <w:multiLevelType w:val="multilevel"/>
    <w:tmpl w:val="68A07CB7"/>
    <w:lvl w:ilvl="0" w:tentative="0">
      <w:start w:val="1"/>
      <w:numFmt w:val="decimal"/>
      <w:lvlText w:val="%1．"/>
      <w:lvlJc w:val="left"/>
      <w:pPr>
        <w:tabs>
          <w:tab w:val="left" w:pos="960"/>
        </w:tabs>
        <w:ind w:left="960" w:hanging="360"/>
      </w:pPr>
      <w:rPr>
        <w:rFonts w:hint="default"/>
      </w:rPr>
    </w:lvl>
    <w:lvl w:ilvl="1" w:tentative="0">
      <w:start w:val="1"/>
      <w:numFmt w:val="lowerLetter"/>
      <w:lvlText w:val="%2)"/>
      <w:lvlJc w:val="left"/>
      <w:pPr>
        <w:tabs>
          <w:tab w:val="left" w:pos="1440"/>
        </w:tabs>
        <w:ind w:left="1440" w:hanging="420"/>
      </w:p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8">
    <w:nsid w:val="6BB145F7"/>
    <w:multiLevelType w:val="multilevel"/>
    <w:tmpl w:val="6BB145F7"/>
    <w:lvl w:ilvl="0" w:tentative="0">
      <w:start w:val="1"/>
      <w:numFmt w:val="lowerLetter"/>
      <w:lvlText w:val="%1)"/>
      <w:lvlJc w:val="left"/>
      <w:pPr>
        <w:ind w:left="840" w:hanging="36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9">
    <w:nsid w:val="74B1FC29"/>
    <w:multiLevelType w:val="singleLevel"/>
    <w:tmpl w:val="74B1FC29"/>
    <w:lvl w:ilvl="0" w:tentative="0">
      <w:start w:val="4"/>
      <w:numFmt w:val="chineseCounting"/>
      <w:suff w:val="nothing"/>
      <w:lvlText w:val="%1、"/>
      <w:lvlJc w:val="left"/>
      <w:rPr>
        <w:rFonts w:hint="eastAsia"/>
      </w:rPr>
    </w:lvl>
  </w:abstractNum>
  <w:num w:numId="1">
    <w:abstractNumId w:val="5"/>
  </w:num>
  <w:num w:numId="2">
    <w:abstractNumId w:val="3"/>
  </w:num>
  <w:num w:numId="3">
    <w:abstractNumId w:val="1"/>
  </w:num>
  <w:num w:numId="4">
    <w:abstractNumId w:val="0"/>
  </w:num>
  <w:num w:numId="5">
    <w:abstractNumId w:val="6"/>
  </w:num>
  <w:num w:numId="6">
    <w:abstractNumId w:val="4"/>
  </w:num>
  <w:num w:numId="7">
    <w:abstractNumId w:val="8"/>
  </w:num>
  <w:num w:numId="8">
    <w:abstractNumId w:val="9"/>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B6D1047"/>
    <w:rsid w:val="28FF0CBF"/>
    <w:rsid w:val="2EE85B90"/>
    <w:rsid w:val="352C335A"/>
    <w:rsid w:val="3B832C89"/>
    <w:rsid w:val="4D3C420D"/>
    <w:rsid w:val="4E5A2CBF"/>
    <w:rsid w:val="7D9A468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0"/>
        <o:r id="V:Rule2" type="connector" idref="#_x0000_s205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semiHidden/>
    <w:unhideWhenUsed/>
    <w:qFormat/>
    <w:uiPriority w:val="99"/>
    <w:rPr>
      <w:color w:val="0000FF"/>
      <w:u w:val="single"/>
    </w:rPr>
  </w:style>
  <w:style w:type="paragraph" w:styleId="10">
    <w:name w:val="List Paragraph"/>
    <w:basedOn w:val="1"/>
    <w:qFormat/>
    <w:uiPriority w:val="34"/>
    <w:pPr>
      <w:ind w:firstLine="420" w:firstLineChars="200"/>
    </w:pPr>
  </w:style>
  <w:style w:type="character" w:customStyle="1" w:styleId="11">
    <w:name w:val="页眉 Char1"/>
    <w:basedOn w:val="8"/>
    <w:link w:val="4"/>
    <w:qFormat/>
    <w:uiPriority w:val="99"/>
    <w:rPr>
      <w:rFonts w:ascii="Times New Roman" w:hAnsi="Times New Roman" w:eastAsia="宋体" w:cs="Times New Roman"/>
      <w:sz w:val="18"/>
      <w:szCs w:val="18"/>
    </w:rPr>
  </w:style>
  <w:style w:type="character" w:customStyle="1" w:styleId="12">
    <w:name w:val="页脚 Char"/>
    <w:basedOn w:val="8"/>
    <w:link w:val="3"/>
    <w:qFormat/>
    <w:uiPriority w:val="99"/>
    <w:rPr>
      <w:rFonts w:ascii="Times New Roman" w:hAnsi="Times New Roman" w:eastAsia="宋体" w:cs="Times New Roman"/>
      <w:sz w:val="18"/>
      <w:szCs w:val="18"/>
    </w:rPr>
  </w:style>
  <w:style w:type="character" w:customStyle="1" w:styleId="13">
    <w:name w:val="批注框文本 Char"/>
    <w:basedOn w:val="8"/>
    <w:link w:val="2"/>
    <w:semiHidden/>
    <w:qFormat/>
    <w:uiPriority w:val="99"/>
    <w:rPr>
      <w:rFonts w:ascii="Times New Roman" w:hAnsi="Times New Roman" w:eastAsia="宋体" w:cs="Times New Roman"/>
      <w:sz w:val="18"/>
      <w:szCs w:val="18"/>
    </w:rPr>
  </w:style>
  <w:style w:type="character" w:customStyle="1" w:styleId="14">
    <w:name w:val="页眉 Char"/>
    <w:qFormat/>
    <w:uiPriority w:val="0"/>
    <w:rPr>
      <w:kern w:val="2"/>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2050"/>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Pages>
  <Words>769</Words>
  <Characters>4384</Characters>
  <Lines>36</Lines>
  <Paragraphs>10</Paragraphs>
  <TotalTime>6</TotalTime>
  <ScaleCrop>false</ScaleCrop>
  <LinksUpToDate>false</LinksUpToDate>
  <CharactersWithSpaces>5143</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2015-06-17T14:51:00Z</dcterms:created>
  <dc:creator>微软用户</dc:creator>
  <cp:lastModifiedBy>Lenovo</cp:lastModifiedBy>
  <cp:lastPrinted>2019-05-13T03:19:00Z</cp:lastPrinted>
  <dcterms:modified xsi:type="dcterms:W3CDTF">2020-06-04T07:39:04Z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