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10252-2024-Q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嘉善迈超滑动轴承材料股份有限公司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91330421MA2JD2FY84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嘉善迈超滑动轴承材料股份有限公司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浙江省嘉兴市嘉善县干窑镇民东路1号2号车间1层东起第一间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浙江省嘉兴市嘉善县干窑镇民东路1号2号车间1层东起第一间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轴承板材的生产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嘉善迈超滑动轴承材料股份有限公司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浙江省嘉兴市嘉善县干窑镇民东路1号2号车间1层东起第一间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浙江省嘉兴市嘉善县干窑镇民东路1号2号车间1层东起第一间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轴承板材的生产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