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河北乐塑管业有限公司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赵艳敏</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鲍阳阳</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