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重庆恒瑞宏电力工程有限公司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重庆恒瑞宏电力工程有限公司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重庆市江北区东环路48号23-3</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重庆市江北区郭家沱铜锣村1号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鲁景桔</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023-67982088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鲁景桔</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鲁景桔</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鲁鹏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Q：高低压成套设备、五金交电、电线电缆、电气设备的销售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E：高低压成套设备、五金交电、电线电缆、电气设备的销售所涉及的相关环境管理活动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O：高低压成套设备、五金交电、电线电缆、电气设备的销售所涉及的相关职业健康安全管理活动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不合格品控制；纠正和预防措施控制；策划管理；过程监控管理；合同管理；客户管理；采购管理；供方管理；服务过程管理；设备设施管理；监视和测量设备管理；产品验收管理；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ascii="宋体" w:hAnsi="宋体"/>
                <w:b/>
                <w:color w:val="000000" w:themeColor="text1"/>
                <w:sz w:val="20"/>
                <w:szCs w:val="20"/>
              </w:rPr>
            </w:pPr>
          </w:p>
        </w:tc>
        <w:tc>
          <w:tcPr>
            <w:tcW w:w="3555"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color w:val="000000"/>
                <w:szCs w:val="21"/>
              </w:rPr>
            </w:pPr>
            <w:r>
              <w:rPr>
                <w:rFonts w:hint="eastAsia" w:ascii="宋体" w:hAnsi="宋体"/>
                <w:szCs w:val="21"/>
              </w:rPr>
              <w:t>高低压成套设备、五金交电、电线电缆、电气设备的销售</w:t>
            </w:r>
          </w:p>
          <w:p>
            <w:pPr>
              <w:rPr>
                <w:b/>
                <w:color w:val="000000" w:themeColor="text1"/>
                <w:sz w:val="20"/>
                <w:szCs w:val="20"/>
              </w:rPr>
            </w:pPr>
          </w:p>
        </w:tc>
        <w:tc>
          <w:tcPr>
            <w:tcW w:w="2519" w:type="dxa"/>
          </w:tcPr>
          <w:p>
            <w:pPr>
              <w:rPr>
                <w:b/>
                <w:color w:val="000000" w:themeColor="text1"/>
                <w:sz w:val="20"/>
                <w:szCs w:val="20"/>
              </w:rPr>
            </w:pPr>
            <w:r>
              <w:rPr>
                <w:rFonts w:hint="eastAsia"/>
                <w:b/>
                <w:color w:val="000000" w:themeColor="text1"/>
                <w:sz w:val="20"/>
                <w:szCs w:val="20"/>
              </w:rPr>
              <w:t>服务</w:t>
            </w:r>
          </w:p>
        </w:tc>
        <w:tc>
          <w:tcPr>
            <w:tcW w:w="1843" w:type="dxa"/>
          </w:tcPr>
          <w:p>
            <w:pPr>
              <w:rPr>
                <w:b/>
                <w:color w:val="000000" w:themeColor="text1"/>
                <w:sz w:val="20"/>
                <w:szCs w:val="20"/>
              </w:rPr>
            </w:pPr>
          </w:p>
        </w:tc>
        <w:tc>
          <w:tcPr>
            <w:tcW w:w="3543" w:type="dxa"/>
          </w:tcPr>
          <w:p>
            <w:pPr>
              <w:spacing w:line="400" w:lineRule="exact"/>
              <w:rPr>
                <w:rFonts w:ascii="宋体" w:hAnsi="宋体" w:cs="宋体"/>
                <w:b w:val="0"/>
                <w:bCs w:val="0"/>
                <w:color w:val="auto"/>
                <w:sz w:val="21"/>
                <w:szCs w:val="21"/>
                <w:highlight w:val="none"/>
              </w:rPr>
            </w:pPr>
            <w:r>
              <w:rPr>
                <w:rFonts w:hint="eastAsia"/>
                <w:b w:val="0"/>
                <w:bCs w:val="0"/>
                <w:color w:val="auto"/>
                <w:sz w:val="21"/>
                <w:szCs w:val="21"/>
                <w:highlight w:val="none"/>
                <w:vertAlign w:val="baseline"/>
                <w:lang w:val="en-US" w:eastAsia="zh-CN"/>
              </w:rPr>
              <w:t>低压成套开关设备</w:t>
            </w:r>
            <w:r>
              <w:rPr>
                <w:rFonts w:hint="eastAsia"/>
                <w:b w:val="0"/>
                <w:bCs w:val="0"/>
                <w:color w:val="auto"/>
                <w:sz w:val="21"/>
                <w:szCs w:val="21"/>
                <w:highlight w:val="none"/>
                <w:lang w:val="en-US" w:eastAsia="zh-CN"/>
              </w:rPr>
              <w:t>GB/T7251.12-2013、</w:t>
            </w:r>
            <w:r>
              <w:rPr>
                <w:rFonts w:hint="eastAsia"/>
                <w:b w:val="0"/>
                <w:bCs w:val="0"/>
                <w:color w:val="auto"/>
                <w:sz w:val="21"/>
                <w:szCs w:val="21"/>
                <w:highlight w:val="none"/>
                <w:vertAlign w:val="baseline"/>
                <w:lang w:val="en-US" w:eastAsia="zh-CN"/>
              </w:rPr>
              <w:t>高压成套开关设备</w:t>
            </w:r>
            <w:r>
              <w:rPr>
                <w:rFonts w:hint="eastAsia" w:ascii="Times New Roman" w:hAnsi="Times New Roman" w:eastAsia="宋体" w:cs="Times New Roman"/>
                <w:b w:val="0"/>
                <w:bCs w:val="0"/>
                <w:color w:val="auto"/>
                <w:sz w:val="21"/>
                <w:szCs w:val="21"/>
                <w:highlight w:val="none"/>
                <w:lang w:val="en-US" w:eastAsia="zh-CN"/>
              </w:rPr>
              <w:t>GB/T 33977-2017、</w:t>
            </w:r>
            <w:r>
              <w:rPr>
                <w:rFonts w:hint="eastAsia"/>
                <w:b w:val="0"/>
                <w:bCs w:val="0"/>
                <w:color w:val="auto"/>
                <w:sz w:val="21"/>
                <w:szCs w:val="21"/>
                <w:highlight w:val="none"/>
                <w:vertAlign w:val="baseline"/>
                <w:lang w:val="en-US" w:eastAsia="zh-CN"/>
              </w:rPr>
              <w:t>屏蔽电线JB/T8734-2012、阻燃及耐火电缆电线GA306.1-2007、</w:t>
            </w:r>
            <w:r>
              <w:rPr>
                <w:rStyle w:val="9"/>
                <w:rFonts w:hint="eastAsia" w:ascii="瀹嬩綋" w:hAnsi="瀹嬩綋" w:eastAsia="宋体" w:cs="瀹嬩綋"/>
                <w:b w:val="0"/>
                <w:bCs w:val="0"/>
                <w:i w:val="0"/>
                <w:caps w:val="0"/>
                <w:color w:val="auto"/>
                <w:spacing w:val="0"/>
                <w:sz w:val="21"/>
                <w:szCs w:val="21"/>
                <w:highlight w:val="none"/>
                <w:shd w:val="clear" w:color="auto" w:fill="FFFFFF"/>
                <w:lang w:val="en-US" w:eastAsia="zh-CN"/>
              </w:rPr>
              <w:t>手动液压机</w:t>
            </w:r>
            <w:r>
              <w:rPr>
                <w:rFonts w:hint="eastAsia" w:ascii="Times New Roman" w:hAnsi="Times New Roman" w:eastAsia="宋体" w:cs="Times New Roman"/>
                <w:b w:val="0"/>
                <w:bCs w:val="0"/>
                <w:color w:val="auto"/>
                <w:sz w:val="21"/>
                <w:szCs w:val="21"/>
                <w:highlight w:val="none"/>
                <w:lang w:val="en-US" w:eastAsia="zh-CN"/>
              </w:rPr>
              <w:t>GB/T28241-2012。</w:t>
            </w:r>
            <w:r>
              <w:rPr>
                <w:rFonts w:ascii="宋体" w:hAnsi="宋体"/>
                <w:b w:val="0"/>
                <w:bCs w:val="0"/>
                <w:color w:val="auto"/>
                <w:sz w:val="21"/>
                <w:szCs w:val="21"/>
                <w:highlight w:val="none"/>
              </w:rPr>
              <w:t>中华人民共和国产品质量法</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中华人民共和国产品</w:t>
            </w:r>
            <w:r>
              <w:rPr>
                <w:rFonts w:hint="eastAsia" w:ascii="宋体" w:hAnsi="宋体"/>
                <w:b w:val="0"/>
                <w:bCs w:val="0"/>
                <w:color w:val="auto"/>
                <w:sz w:val="21"/>
                <w:szCs w:val="21"/>
                <w:highlight w:val="none"/>
              </w:rPr>
              <w:t>计量</w:t>
            </w:r>
            <w:r>
              <w:rPr>
                <w:rFonts w:ascii="宋体" w:hAnsi="宋体"/>
                <w:b w:val="0"/>
                <w:bCs w:val="0"/>
                <w:color w:val="auto"/>
                <w:sz w:val="21"/>
                <w:szCs w:val="21"/>
                <w:highlight w:val="none"/>
              </w:rPr>
              <w:t>法</w:t>
            </w:r>
            <w:r>
              <w:rPr>
                <w:rFonts w:hint="eastAsia" w:ascii="宋体" w:hAnsi="宋体"/>
                <w:b w:val="0"/>
                <w:bCs w:val="0"/>
                <w:color w:val="auto"/>
                <w:sz w:val="21"/>
                <w:szCs w:val="21"/>
                <w:highlight w:val="none"/>
              </w:rPr>
              <w:t>、销售服务规范</w:t>
            </w:r>
            <w:r>
              <w:rPr>
                <w:rFonts w:hint="eastAsia" w:ascii="宋体" w:hAnsi="宋体"/>
                <w:b w:val="0"/>
                <w:bCs w:val="0"/>
                <w:color w:val="auto"/>
                <w:sz w:val="21"/>
                <w:szCs w:val="21"/>
                <w:highlight w:val="none"/>
                <w:lang w:eastAsia="zh-CN"/>
              </w:rPr>
              <w:t>等</w:t>
            </w:r>
            <w:r>
              <w:rPr>
                <w:rFonts w:hint="eastAsia" w:ascii="宋体" w:hAnsi="宋体"/>
                <w:b w:val="0"/>
                <w:bCs w:val="0"/>
                <w:color w:val="auto"/>
                <w:sz w:val="21"/>
                <w:szCs w:val="21"/>
                <w:highlight w:val="none"/>
              </w:rPr>
              <w:t>。</w:t>
            </w:r>
          </w:p>
          <w:p>
            <w:pPr>
              <w:spacing w:line="4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u w:val="single"/>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r>
        <w:rPr>
          <w:rFonts w:hint="eastAsia"/>
          <w:b/>
          <w:color w:val="000000" w:themeColor="text1"/>
          <w:spacing w:val="-10"/>
          <w:szCs w:val="21"/>
          <w:u w:val="single"/>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pPr>
              <w:spacing w:line="400" w:lineRule="exact"/>
              <w:ind w:firstLine="482"/>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r>
              <w:rPr>
                <w:rFonts w:hint="eastAsia" w:asciiTheme="minorEastAsia" w:hAnsiTheme="minorEastAsia" w:eastAsiaTheme="minorEastAsia" w:cstheme="minorEastAsia"/>
                <w:b w:val="0"/>
                <w:bCs w:val="0"/>
                <w:sz w:val="21"/>
                <w:szCs w:val="21"/>
              </w:rPr>
              <w:t>“质量为本、满意服务；污染预防、全员环保；安全为天、珍爱生命；遵纪守法、持续改进”。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质量管理体系过程有：合同评审、采购、交付过程等。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其中关键过程有：销售</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销售服务过程 </w:t>
            </w:r>
          </w:p>
          <w:p>
            <w:pPr>
              <w:tabs>
                <w:tab w:val="left" w:pos="1080"/>
              </w:tabs>
              <w:spacing w:line="400" w:lineRule="exact"/>
              <w:rPr>
                <w:rFonts w:ascii="宋体" w:hAnsi="宋体"/>
                <w:szCs w:val="21"/>
                <w:u w:val="single"/>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8.3</w:t>
            </w:r>
            <w:r>
              <w:rPr>
                <w:rFonts w:hint="eastAsia" w:ascii="宋体" w:hAnsi="宋体"/>
                <w:b/>
                <w:color w:val="000000" w:themeColor="text1"/>
                <w:sz w:val="20"/>
                <w:szCs w:val="20"/>
              </w:rPr>
              <w:t xml:space="preserve"> ，不适用理由：</w:t>
            </w:r>
            <w:r>
              <w:rPr>
                <w:rFonts w:hint="eastAsia" w:ascii="宋体" w:hAnsi="宋体" w:cs="宋体"/>
                <w:szCs w:val="21"/>
              </w:rPr>
              <w:t>由于公司销售的产品是顾客的要求进行进行服务，不承担设计责任，且销售服务成熟经营模式</w:t>
            </w:r>
            <w:r>
              <w:rPr>
                <w:rFonts w:hint="eastAsia" w:ascii="宋体" w:hAnsi="宋体" w:cs="宋体"/>
                <w:bCs/>
                <w:szCs w:val="21"/>
              </w:rPr>
              <w:t>，</w:t>
            </w:r>
            <w:r>
              <w:rPr>
                <w:rFonts w:hint="eastAsia" w:ascii="宋体" w:hAnsi="宋体" w:cs="宋体"/>
                <w:szCs w:val="21"/>
              </w:rPr>
              <w:t>所以GB/T19001-2016标准8.3条款不适用</w:t>
            </w:r>
          </w:p>
          <w:p>
            <w:pPr>
              <w:tabs>
                <w:tab w:val="left" w:pos="540"/>
                <w:tab w:val="right" w:pos="8781"/>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szCs w:val="21"/>
              </w:rPr>
              <w:t>火灾、人身伤害）</w:t>
            </w:r>
            <w:r>
              <w:rPr>
                <w:rFonts w:hint="eastAsia" w:ascii="宋体" w:hAnsi="宋体"/>
                <w:color w:val="000000" w:themeColor="text1"/>
              </w:rPr>
              <w:t>，与之相关的过程有采购、验收、销售过程，针对重要危险源制定了管理方案。控制措施实施有效。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管理目标、指标的实现情况：（考核时间：20</w:t>
            </w:r>
            <w:r>
              <w:rPr>
                <w:rFonts w:hint="eastAsia" w:ascii="宋体" w:hAnsi="宋体" w:cs="宋体"/>
                <w:color w:val="000000"/>
                <w:kern w:val="0"/>
                <w:szCs w:val="21"/>
                <w:highlight w:val="none"/>
                <w:lang w:val="en-US" w:eastAsia="zh-CN"/>
              </w:rPr>
              <w:t>20</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月-2020年</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月）</w:t>
            </w:r>
          </w:p>
          <w:p>
            <w:pPr>
              <w:numPr>
                <w:ilvl w:val="0"/>
                <w:numId w:val="3"/>
              </w:numPr>
              <w:snapToGrid w:val="0"/>
              <w:spacing w:line="420" w:lineRule="exact"/>
              <w:ind w:firstLine="420" w:firstLineChars="200"/>
              <w:rPr>
                <w:rFonts w:ascii="宋体" w:hAnsi="宋体" w:cs="宋体"/>
                <w:color w:val="000000"/>
                <w:szCs w:val="21"/>
                <w:highlight w:val="none"/>
              </w:rPr>
            </w:pPr>
            <w:r>
              <w:rPr>
                <w:rFonts w:hint="eastAsia" w:ascii="宋体" w:hAnsi="宋体"/>
                <w:color w:val="000000"/>
                <w:szCs w:val="21"/>
                <w:highlight w:val="none"/>
              </w:rPr>
              <w:t>顾客满意率≥</w:t>
            </w:r>
            <w:r>
              <w:rPr>
                <w:rFonts w:ascii="仿宋_GB2312" w:eastAsia="仿宋_GB2312"/>
                <w:color w:val="000000"/>
                <w:szCs w:val="21"/>
                <w:highlight w:val="none"/>
              </w:rPr>
              <w:t>9</w:t>
            </w:r>
            <w:r>
              <w:rPr>
                <w:rFonts w:hint="eastAsia" w:ascii="仿宋_GB2312" w:eastAsia="仿宋_GB2312"/>
                <w:color w:val="000000"/>
                <w:szCs w:val="21"/>
                <w:highlight w:val="none"/>
              </w:rPr>
              <w:t>0分</w:t>
            </w:r>
            <w:r>
              <w:rPr>
                <w:rFonts w:hint="eastAsia" w:ascii="宋体" w:hAnsi="宋体" w:eastAsia="仿宋_GB2312" w:cs="宋体"/>
                <w:color w:val="000000"/>
                <w:szCs w:val="21"/>
                <w:highlight w:val="none"/>
                <w:lang w:eastAsia="zh-CN"/>
              </w:rPr>
              <w:t>；</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实测</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分</w:t>
            </w:r>
          </w:p>
          <w:p>
            <w:pPr>
              <w:numPr>
                <w:ilvl w:val="0"/>
                <w:numId w:val="3"/>
              </w:numPr>
              <w:snapToGrid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产品</w:t>
            </w:r>
            <w:r>
              <w:rPr>
                <w:rFonts w:hint="eastAsia" w:ascii="宋体" w:hAnsi="宋体" w:cs="宋体"/>
                <w:color w:val="000000"/>
                <w:szCs w:val="21"/>
                <w:highlight w:val="none"/>
                <w:lang w:eastAsia="zh-CN"/>
              </w:rPr>
              <w:t>交付</w:t>
            </w:r>
            <w:r>
              <w:rPr>
                <w:rFonts w:hint="eastAsia" w:ascii="宋体" w:hAnsi="宋体" w:cs="宋体"/>
                <w:color w:val="000000"/>
                <w:szCs w:val="21"/>
                <w:highlight w:val="none"/>
              </w:rPr>
              <w:t>合格率</w:t>
            </w:r>
            <w:r>
              <w:rPr>
                <w:rFonts w:hint="eastAsia" w:ascii="宋体" w:hAnsi="宋体" w:cs="宋体"/>
                <w:color w:val="000000"/>
                <w:szCs w:val="21"/>
                <w:highlight w:val="none"/>
                <w:lang w:val="en-US" w:eastAsia="zh-CN"/>
              </w:rPr>
              <w:t>100</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实测</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100</w:t>
            </w:r>
            <w:r>
              <w:rPr>
                <w:rFonts w:hint="eastAsia" w:ascii="宋体" w:hAnsi="宋体" w:cs="宋体"/>
                <w:color w:val="000000"/>
                <w:szCs w:val="21"/>
                <w:highlight w:val="none"/>
              </w:rPr>
              <w:t>%</w:t>
            </w:r>
          </w:p>
          <w:p>
            <w:pPr>
              <w:numPr>
                <w:ilvl w:val="0"/>
                <w:numId w:val="3"/>
              </w:numPr>
              <w:snapToGrid w:val="0"/>
              <w:spacing w:line="420" w:lineRule="exact"/>
              <w:ind w:firstLine="420" w:firstLineChars="200"/>
              <w:rPr>
                <w:rFonts w:ascii="宋体" w:hAnsi="宋体" w:cs="宋体"/>
                <w:color w:val="000000"/>
                <w:szCs w:val="21"/>
                <w:highlight w:val="none"/>
              </w:rPr>
            </w:pPr>
            <w:r>
              <w:rPr>
                <w:rFonts w:hint="eastAsia" w:ascii="宋体" w:hAnsi="宋体"/>
                <w:color w:val="000000"/>
                <w:szCs w:val="21"/>
                <w:highlight w:val="none"/>
              </w:rPr>
              <w:t>固体废弃物100</w:t>
            </w:r>
            <w:r>
              <w:rPr>
                <w:rFonts w:hint="eastAsia" w:ascii="宋体" w:hAnsi="宋体"/>
                <w:color w:val="000000"/>
                <w:szCs w:val="21"/>
                <w:highlight w:val="none"/>
                <w:lang w:val="en-US" w:eastAsia="zh-CN"/>
              </w:rPr>
              <w:t>%合规</w:t>
            </w:r>
            <w:r>
              <w:rPr>
                <w:rFonts w:hint="eastAsia" w:ascii="宋体" w:hAnsi="宋体"/>
                <w:color w:val="000000"/>
                <w:szCs w:val="21"/>
                <w:highlight w:val="none"/>
              </w:rPr>
              <w:t>处理</w:t>
            </w:r>
            <w:r>
              <w:rPr>
                <w:rFonts w:hint="eastAsia" w:ascii="宋体" w:hAnsi="宋体" w:cs="宋体"/>
                <w:color w:val="000000"/>
                <w:szCs w:val="21"/>
                <w:highlight w:val="none"/>
              </w:rPr>
              <w:t>；    实测</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100%</w:t>
            </w:r>
          </w:p>
          <w:p>
            <w:pPr>
              <w:snapToGrid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olor w:val="000000"/>
                <w:szCs w:val="21"/>
                <w:highlight w:val="none"/>
              </w:rPr>
              <w:t>火灾事故为0</w:t>
            </w:r>
            <w:r>
              <w:rPr>
                <w:rFonts w:hint="eastAsia" w:ascii="宋体" w:hAnsi="宋体" w:cs="宋体"/>
                <w:color w:val="000000"/>
                <w:szCs w:val="21"/>
                <w:highlight w:val="none"/>
              </w:rPr>
              <w:t>；               实测：0</w:t>
            </w:r>
          </w:p>
          <w:p>
            <w:pPr>
              <w:pStyle w:val="17"/>
              <w:ind w:firstLine="460" w:firstLineChars="200"/>
              <w:rPr>
                <w:rFonts w:ascii="宋体" w:hAnsi="宋体" w:cs="宋体"/>
                <w:szCs w:val="21"/>
                <w:highlight w:val="none"/>
              </w:rPr>
            </w:pPr>
            <w:r>
              <w:rPr>
                <w:rFonts w:hint="eastAsia" w:ascii="宋体" w:hAnsi="宋体" w:cs="宋体"/>
                <w:color w:val="000000"/>
                <w:szCs w:val="21"/>
                <w:highlight w:val="none"/>
              </w:rPr>
              <w:t>5）</w:t>
            </w:r>
            <w:r>
              <w:rPr>
                <w:rFonts w:hint="eastAsia" w:ascii="宋体" w:hAnsi="宋体"/>
                <w:color w:val="000000"/>
                <w:szCs w:val="21"/>
                <w:highlight w:val="none"/>
              </w:rPr>
              <w:t>重伤事故为零</w:t>
            </w:r>
            <w:r>
              <w:rPr>
                <w:rFonts w:hint="eastAsia" w:ascii="宋体" w:hAnsi="宋体" w:cs="宋体"/>
                <w:color w:val="000000"/>
                <w:szCs w:val="21"/>
                <w:highlight w:val="none"/>
              </w:rPr>
              <w:t>。           实测：0</w:t>
            </w:r>
          </w:p>
          <w:p>
            <w:p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高低压成套设备、五金交电、电线电缆、电气设备的销售的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ascii="宋体" w:hAnsi="宋体"/>
                <w:szCs w:val="21"/>
                <w:highlight w:val="none"/>
              </w:rPr>
              <w:t>公司拥有办公面积</w:t>
            </w:r>
            <w:r>
              <w:rPr>
                <w:rFonts w:hint="eastAsia" w:ascii="宋体" w:hAnsi="宋体"/>
                <w:szCs w:val="21"/>
                <w:highlight w:val="none"/>
                <w:lang w:val="en-US" w:eastAsia="zh-CN"/>
              </w:rPr>
              <w:t>400</w:t>
            </w:r>
            <w:r>
              <w:rPr>
                <w:rFonts w:hint="eastAsia" w:ascii="宋体" w:hAnsi="宋体"/>
                <w:szCs w:val="21"/>
                <w:highlight w:val="none"/>
              </w:rPr>
              <w:t>平方米</w:t>
            </w:r>
            <w:r>
              <w:rPr>
                <w:rFonts w:hint="eastAsia" w:ascii="宋体" w:hAnsi="宋体" w:cs="宋体"/>
                <w:szCs w:val="21"/>
                <w:highlight w:val="none"/>
              </w:rPr>
              <w:t>，设有面积</w:t>
            </w:r>
            <w:r>
              <w:rPr>
                <w:rFonts w:hint="eastAsia" w:ascii="宋体" w:hAnsi="宋体" w:cs="宋体"/>
                <w:szCs w:val="21"/>
                <w:highlight w:val="none"/>
                <w:lang w:val="en-US" w:eastAsia="zh-CN"/>
              </w:rPr>
              <w:t>200</w:t>
            </w:r>
            <w:r>
              <w:rPr>
                <w:rFonts w:hint="eastAsia" w:ascii="宋体" w:hAnsi="宋体" w:cs="宋体"/>
                <w:szCs w:val="21"/>
                <w:highlight w:val="none"/>
              </w:rPr>
              <w:t>平方米的库房，主要设备为电脑及办公设备等，可以满足</w:t>
            </w:r>
            <w:r>
              <w:rPr>
                <w:rFonts w:hint="eastAsia" w:ascii="宋体" w:hAnsi="宋体"/>
                <w:szCs w:val="21"/>
                <w:highlight w:val="none"/>
              </w:rPr>
              <w:t>高低压成套设备、五金交电、电线电缆、电气设备的销售的</w:t>
            </w:r>
            <w:r>
              <w:rPr>
                <w:rFonts w:hint="eastAsia" w:ascii="宋体" w:hAnsi="宋体" w:cs="宋体"/>
                <w:szCs w:val="21"/>
                <w:highlight w:val="none"/>
              </w:rPr>
              <w:t>需要。特种设备：</w:t>
            </w:r>
            <w:r>
              <w:rPr>
                <w:rFonts w:hint="eastAsia" w:ascii="宋体" w:hAnsi="宋体" w:cs="宋体"/>
                <w:szCs w:val="21"/>
                <w:highlight w:val="none"/>
                <w:lang w:eastAsia="zh-CN"/>
              </w:rPr>
              <w:t>无</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办公所场设备布置合理，通道畅通，照明设施齐全，均配备了消防设施等设施。办公室明亮，服务场所光线较充足。每月由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spacing w:line="400" w:lineRule="exact"/>
            </w:pPr>
            <w:r>
              <w:rPr>
                <w:rFonts w:hint="eastAsia"/>
                <w:highlight w:val="none"/>
              </w:rPr>
              <w:t>暂未配置检测设备等，</w:t>
            </w:r>
            <w:r>
              <w:rPr>
                <w:rFonts w:hint="eastAsia"/>
                <w:szCs w:val="21"/>
                <w:highlight w:val="none"/>
              </w:rPr>
              <w:t>采取以供方出具的产品检测报告为验收依据，进行核验，最终产品质量由顾客确认</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销售产品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rPr>
              <w:t>固废排放、潜在火灾</w:t>
            </w:r>
            <w:r>
              <w:rPr>
                <w:rFonts w:hint="eastAsia" w:asciiTheme="minorEastAsia" w:hAnsiTheme="minorEastAsia" w:eastAsiaTheme="minorEastAsia"/>
                <w:bCs/>
                <w:iCs/>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szCs w:val="21"/>
              </w:rPr>
              <w:t>火灾、人身伤害等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2020年1月实施，满意度评价</w:t>
            </w:r>
            <w:r>
              <w:rPr>
                <w:rFonts w:hint="eastAsia" w:ascii="宋体" w:hAnsi="宋体" w:cs="宋体"/>
                <w:szCs w:val="21"/>
                <w:lang w:val="en-US" w:eastAsia="zh-CN"/>
              </w:rPr>
              <w:t>98</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1月6日-7日，拟定了审核实施表，明确了内审范围，内审人员经培训合格上岗，能力满足要求，未出现审核本部门情况，内审不符合项1项，涉及</w:t>
            </w:r>
            <w:r>
              <w:rPr>
                <w:rFonts w:hint="eastAsia" w:ascii="宋体" w:hAnsi="宋体"/>
                <w:szCs w:val="21"/>
                <w:lang w:eastAsia="zh-CN"/>
              </w:rPr>
              <w:t>综合部</w:t>
            </w:r>
            <w:r>
              <w:rPr>
                <w:rFonts w:hint="eastAsia" w:ascii="宋体" w:hAnsi="宋体"/>
                <w:szCs w:val="21"/>
              </w:rPr>
              <w:t>Q/E/S7.2条款未能提供关键岗位销售人员能力评价记录，针对该不符合项，已及时采取纠正措施后，经内审员验证关闭。内审的有效性需要改善。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2020年1月16日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分布在部门市场部Q</w:t>
      </w:r>
      <w:r>
        <w:rPr>
          <w:rFonts w:hint="eastAsia"/>
          <w:b/>
          <w:color w:val="000000" w:themeColor="text1"/>
          <w:highlight w:val="none"/>
          <w:lang w:val="en-US" w:eastAsia="zh-CN"/>
        </w:rPr>
        <w:t>8.4.1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QMS  ■EMS  ■OHSMS持续的符合性及运行的有效性，以及与认证范围的持续相关性和适宜性及自我完善机制等。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rPr>
              <w:t>QMS:</w:t>
            </w:r>
            <w:r>
              <w:rPr>
                <w:rFonts w:hint="eastAsia" w:ascii="宋体" w:hAnsi="宋体"/>
                <w:szCs w:val="21"/>
              </w:rPr>
              <w:t>高低压成套设备、五金交电、电线电缆、电气设备的销售。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高低压成套设备、五金交电、电线电缆、电气设备的销售所涉及的相关环境管理活动。</w:t>
            </w:r>
          </w:p>
          <w:p>
            <w:pPr>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高低压成套设备、五金交电、电线电缆、电气设备的销售所涉及的相关职业健康安全管理活动。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(■QMS  ■EMS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一般不符合报告在30天/严重不符合在60天针对不符合原因制定并实施纠正措施。验证方式见不符合项报告。</w:t>
      </w:r>
    </w:p>
    <w:p>
      <w:pPr>
        <w:spacing w:beforeLines="50" w:afterLines="50"/>
        <w:ind w:left="1" w:leftChars="-405" w:hanging="851" w:hangingChars="326"/>
        <w:rPr>
          <w:b/>
          <w:bCs/>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b/>
          <w:color w:val="000000" w:themeColor="text1"/>
          <w:sz w:val="26"/>
          <w:szCs w:val="26"/>
        </w:rPr>
        <w:drawing>
          <wp:anchor distT="0" distB="0" distL="0" distR="0" simplePos="0" relativeHeight="251701248" behindDoc="0" locked="0" layoutInCell="1" allowOverlap="1">
            <wp:simplePos x="0" y="0"/>
            <wp:positionH relativeFrom="column">
              <wp:posOffset>1556385</wp:posOffset>
            </wp:positionH>
            <wp:positionV relativeFrom="paragraph">
              <wp:posOffset>309245</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754496" behindDoc="0" locked="0" layoutInCell="1" allowOverlap="1">
            <wp:simplePos x="0" y="0"/>
            <wp:positionH relativeFrom="column">
              <wp:posOffset>2193290</wp:posOffset>
            </wp:positionH>
            <wp:positionV relativeFrom="paragraph">
              <wp:posOffset>112395</wp:posOffset>
            </wp:positionV>
            <wp:extent cx="520065" cy="393700"/>
            <wp:effectExtent l="0" t="0" r="13335" b="254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pic:cNvPicPr>
                  </pic:nvPicPr>
                  <pic:blipFill>
                    <a:blip r:embed="rId7"/>
                    <a:stretch>
                      <a:fillRect/>
                    </a:stretch>
                  </pic:blipFill>
                  <pic:spPr>
                    <a:xfrm>
                      <a:off x="0" y="0"/>
                      <a:ext cx="520065" cy="393700"/>
                    </a:xfrm>
                    <a:prstGeom prst="rect">
                      <a:avLst/>
                    </a:prstGeom>
                    <a:noFill/>
                    <a:ln>
                      <a:noFill/>
                    </a:ln>
                  </pic:spPr>
                </pic:pic>
              </a:graphicData>
            </a:graphic>
          </wp:anchor>
        </w:drawing>
      </w:r>
      <w:r>
        <w:rPr>
          <w:rFonts w:hint="eastAsia"/>
          <w:b/>
          <w:sz w:val="22"/>
          <w:szCs w:val="22"/>
        </w:rPr>
        <w:drawing>
          <wp:anchor distT="0" distB="0" distL="114300" distR="114300" simplePos="0" relativeHeight="251704320" behindDoc="0" locked="0" layoutInCell="1" allowOverlap="1">
            <wp:simplePos x="0" y="0"/>
            <wp:positionH relativeFrom="column">
              <wp:posOffset>1508125</wp:posOffset>
            </wp:positionH>
            <wp:positionV relativeFrom="paragraph">
              <wp:posOffset>146685</wp:posOffset>
            </wp:positionV>
            <wp:extent cx="408940" cy="423545"/>
            <wp:effectExtent l="0" t="0" r="254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8" cstate="print"/>
                    <a:srcRect/>
                    <a:stretch>
                      <a:fillRect/>
                    </a:stretch>
                  </pic:blipFill>
                  <pic:spPr>
                    <a:xfrm>
                      <a:off x="0" y="0"/>
                      <a:ext cx="408940" cy="423545"/>
                    </a:xfrm>
                    <a:prstGeom prst="rect">
                      <a:avLst/>
                    </a:prstGeom>
                    <a:noFill/>
                    <a:ln w="9525">
                      <a:noFill/>
                      <a:miter lim="800000"/>
                      <a:headEnd/>
                      <a:tailEnd/>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年 </w:t>
      </w:r>
      <w:r>
        <w:rPr>
          <w:rFonts w:hint="eastAsia"/>
          <w:b/>
          <w:color w:val="000000" w:themeColor="text1"/>
          <w:lang w:val="en-US" w:eastAsia="zh-CN"/>
        </w:rPr>
        <w:t>5</w:t>
      </w:r>
      <w:r>
        <w:rPr>
          <w:rFonts w:hint="eastAsia"/>
          <w:b/>
          <w:color w:val="000000" w:themeColor="text1"/>
        </w:rPr>
        <w:t xml:space="preserve"> 月</w:t>
      </w:r>
      <w:r>
        <w:rPr>
          <w:rFonts w:hint="eastAsia"/>
          <w:b/>
          <w:color w:val="000000" w:themeColor="text1"/>
          <w:lang w:val="en-US" w:eastAsia="zh-CN"/>
        </w:rPr>
        <w:t>7</w:t>
      </w:r>
      <w:r>
        <w:rPr>
          <w:rFonts w:hint="eastAsia"/>
          <w:b/>
          <w:color w:val="000000" w:themeColor="text1"/>
        </w:rPr>
        <w:t xml:space="preserve">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zCs w:val="21"/>
          <w:highlight w:val="none"/>
        </w:rPr>
        <w:t>■QMS( 1 )个一般不符合，( 0 )个严重不符合，■验证合格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b/>
          <w:color w:val="000000" w:themeColor="text1"/>
          <w:sz w:val="26"/>
          <w:szCs w:val="26"/>
        </w:rPr>
        <w:drawing>
          <wp:anchor distT="0" distB="0" distL="0" distR="0" simplePos="0" relativeHeight="251798528" behindDoc="0" locked="0" layoutInCell="1" allowOverlap="1">
            <wp:simplePos x="0" y="0"/>
            <wp:positionH relativeFrom="column">
              <wp:posOffset>745490</wp:posOffset>
            </wp:positionH>
            <wp:positionV relativeFrom="paragraph">
              <wp:posOffset>78740</wp:posOffset>
            </wp:positionV>
            <wp:extent cx="732790" cy="456565"/>
            <wp:effectExtent l="0" t="0" r="13970" b="635"/>
            <wp:wrapSquare wrapText="bothSides"/>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Cs w:val="21"/>
        </w:rPr>
        <w:t>组长签字:                               日</w:t>
      </w:r>
      <w:bookmarkStart w:id="22" w:name="_GoBack"/>
      <w:r>
        <w:rPr>
          <w:rFonts w:hint="eastAsia"/>
          <w:b/>
          <w:color w:val="000000" w:themeColor="text1"/>
          <w:szCs w:val="21"/>
          <w:highlight w:val="none"/>
        </w:rPr>
        <w:t xml:space="preserve">期: </w:t>
      </w:r>
      <w:r>
        <w:rPr>
          <w:rFonts w:hint="eastAsia"/>
          <w:b/>
          <w:color w:val="000000" w:themeColor="text1"/>
          <w:szCs w:val="21"/>
          <w:highlight w:val="none"/>
          <w:lang w:val="en-US" w:eastAsia="zh-CN"/>
        </w:rPr>
        <w:t>2020</w:t>
      </w:r>
      <w:r>
        <w:rPr>
          <w:rFonts w:hint="eastAsia"/>
          <w:b/>
          <w:color w:val="000000" w:themeColor="text1"/>
          <w:szCs w:val="21"/>
          <w:highlight w:val="none"/>
        </w:rPr>
        <w:t xml:space="preserve">年 </w:t>
      </w:r>
      <w:r>
        <w:rPr>
          <w:rFonts w:hint="eastAsia"/>
          <w:b/>
          <w:color w:val="000000" w:themeColor="text1"/>
          <w:szCs w:val="21"/>
          <w:highlight w:val="none"/>
          <w:lang w:val="en-US" w:eastAsia="zh-CN"/>
        </w:rPr>
        <w:t>5</w:t>
      </w:r>
      <w:r>
        <w:rPr>
          <w:rFonts w:hint="eastAsia"/>
          <w:b/>
          <w:color w:val="000000" w:themeColor="text1"/>
          <w:szCs w:val="21"/>
          <w:highlight w:val="none"/>
        </w:rPr>
        <w:t>月</w:t>
      </w:r>
      <w:r>
        <w:rPr>
          <w:rFonts w:hint="eastAsia"/>
          <w:b/>
          <w:color w:val="000000" w:themeColor="text1"/>
          <w:szCs w:val="21"/>
          <w:highlight w:val="none"/>
          <w:lang w:val="en-US" w:eastAsia="zh-CN"/>
        </w:rPr>
        <w:t>10</w:t>
      </w:r>
      <w:r>
        <w:rPr>
          <w:rFonts w:hint="eastAsia"/>
          <w:b/>
          <w:color w:val="000000" w:themeColor="text1"/>
          <w:szCs w:val="21"/>
          <w:highlight w:val="none"/>
        </w:rPr>
        <w:t xml:space="preserve"> 日</w:t>
      </w:r>
      <w:bookmarkEnd w:id="22"/>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瀹嬩綋">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9BFF"/>
    <w:multiLevelType w:val="singleLevel"/>
    <w:tmpl w:val="2C599BFF"/>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C32975"/>
    <w:rsid w:val="363A6817"/>
    <w:rsid w:val="655C4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2020-05-07T07:05:29Z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