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受审核部门：整个公司，主管领导：许振红/陪同人员：浦其炳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审核员：林兵、任泽华、王央央；审核时间：2020年</w:t>
            </w:r>
            <w:r>
              <w:rPr>
                <w:sz w:val="24"/>
                <w:szCs w:val="24"/>
              </w:rPr>
              <w:t>5</w:t>
            </w:r>
            <w:r>
              <w:rPr>
                <w:rFonts w:hint="eastAsia"/>
                <w:sz w:val="24"/>
                <w:szCs w:val="24"/>
              </w:rPr>
              <w:t>月</w:t>
            </w:r>
            <w:r>
              <w:rPr>
                <w:sz w:val="24"/>
                <w:szCs w:val="24"/>
              </w:rPr>
              <w:t>7</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r>
              <w:rPr>
                <w:rFonts w:hint="eastAsia"/>
              </w:rPr>
              <w:t xml:space="preserve">企业基本情况 </w:t>
            </w:r>
          </w:p>
        </w:tc>
        <w:tc>
          <w:tcPr>
            <w:tcW w:w="960" w:type="dxa"/>
          </w:tcPr>
          <w:p/>
        </w:tc>
        <w:tc>
          <w:tcPr>
            <w:tcW w:w="10004" w:type="dxa"/>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ascii="宋体" w:hAnsi="宋体"/>
                <w:szCs w:val="22"/>
                <w:u w:val="single"/>
              </w:rPr>
              <w:t>许振红</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szCs w:val="22"/>
                <w:u w:val="single"/>
              </w:rPr>
              <w:t xml:space="preserve">浦其炳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pPr>
            <w:r>
              <w:rPr>
                <w:rFonts w:hint="eastAsia" w:ascii="宋体" w:hAnsi="宋体"/>
              </w:rPr>
              <w:t>3）</w:t>
            </w:r>
            <w:r>
              <w:rPr>
                <w:rFonts w:hint="eastAsia" w:ascii="宋体" w:hAnsi="宋体"/>
                <w:szCs w:val="21"/>
              </w:rPr>
              <w:t>■</w:t>
            </w:r>
            <w:r>
              <w:rPr>
                <w:rFonts w:hint="eastAsia" w:ascii="宋体" w:hAnsi="宋体"/>
              </w:rPr>
              <w:t>任命安全事务代表：</w:t>
            </w:r>
            <w:r>
              <w:rPr>
                <w:rFonts w:hint="eastAsia" w:ascii="宋体" w:hAnsi="宋体"/>
                <w:szCs w:val="22"/>
                <w:u w:val="single"/>
              </w:rPr>
              <w:t>浦其炳</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25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/E/0 ：</w:t>
            </w:r>
            <w:r>
              <w:rPr>
                <w:rFonts w:hint="eastAsia" w:ascii="宋体" w:hAnsi="宋体"/>
                <w:u w:val="single"/>
              </w:rPr>
              <w:t xml:space="preserve"> 各</w:t>
            </w:r>
            <w:r>
              <w:rPr>
                <w:rFonts w:ascii="宋体" w:hAnsi="宋体"/>
                <w:u w:val="single"/>
              </w:rPr>
              <w:t xml:space="preserve">25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ascii="宋体"/>
                <w:szCs w:val="21"/>
                <w:u w:val="single"/>
              </w:rPr>
            </w:pPr>
            <w:r>
              <w:rPr>
                <w:rFonts w:hint="eastAsia" w:ascii="宋体"/>
                <w:szCs w:val="21"/>
                <w:u w:val="single"/>
              </w:rPr>
              <w:t>销供部、生产部</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rPr>
                <w:color w:val="000000"/>
                <w:szCs w:val="21"/>
              </w:rPr>
            </w:pPr>
            <w:r>
              <w:rPr>
                <w:rFonts w:hint="eastAsia" w:ascii="宋体" w:hAnsi="宋体"/>
                <w:szCs w:val="21"/>
              </w:rPr>
              <w:t>Q：桁架机器人和逛街机器人的组装及相关管理活动</w:t>
            </w:r>
          </w:p>
          <w:p>
            <w:pPr>
              <w:rPr>
                <w:rFonts w:ascii="宋体" w:hAnsi="宋体"/>
                <w:szCs w:val="21"/>
              </w:rPr>
            </w:pPr>
            <w:r>
              <w:rPr>
                <w:rFonts w:hint="eastAsia" w:ascii="宋体" w:hAnsi="宋体"/>
                <w:szCs w:val="21"/>
              </w:rPr>
              <w:t>E：桁架机器人和逛街机器人的组装及其相关环境管理活动</w:t>
            </w:r>
          </w:p>
          <w:p>
            <w:pPr>
              <w:adjustRightInd w:val="0"/>
              <w:spacing w:line="280" w:lineRule="exact"/>
              <w:jc w:val="left"/>
              <w:rPr>
                <w:rFonts w:ascii="宋体"/>
                <w:szCs w:val="21"/>
                <w:u w:val="single"/>
              </w:rPr>
            </w:pPr>
            <w:r>
              <w:rPr>
                <w:rFonts w:hint="eastAsia" w:ascii="宋体" w:hAnsi="宋体"/>
                <w:szCs w:val="21"/>
              </w:rPr>
              <w:t>O：桁架机器人和逛街机器人的组装及其相关职业健康安全管理活动</w:t>
            </w:r>
          </w:p>
          <w:p>
            <w:pPr>
              <w:adjustRightInd w:val="0"/>
              <w:spacing w:line="280" w:lineRule="exact"/>
              <w:jc w:val="left"/>
            </w:pPr>
            <w:r>
              <w:rPr>
                <w:rFonts w:hint="eastAsia" w:ascii="宋体" w:hAnsi="宋体"/>
                <w:color w:val="333333"/>
                <w:szCs w:val="21"/>
                <w:highlight w:val="yellow"/>
              </w:rPr>
              <w:t>确认体系文件中描述的、与申请的、与实际的是否一致：</w:t>
            </w:r>
            <w:r>
              <w:rPr>
                <w:rFonts w:hint="eastAsia" w:ascii="宋体" w:hAnsi="宋体"/>
                <w:szCs w:val="21"/>
                <w:highlight w:val="yellow"/>
              </w:rPr>
              <w:t>■</w:t>
            </w:r>
            <w:r>
              <w:rPr>
                <w:rFonts w:hint="eastAsia" w:ascii="宋体" w:hAnsi="宋体"/>
                <w:highlight w:val="yellow"/>
              </w:rPr>
              <w:t>一致，</w:t>
            </w:r>
            <w:r>
              <w:rPr>
                <w:rFonts w:hint="eastAsia" w:ascii="宋体" w:hAnsi="宋体"/>
                <w:szCs w:val="21"/>
                <w:highlight w:val="yellow"/>
              </w:rPr>
              <w:t>□</w:t>
            </w:r>
            <w:r>
              <w:rPr>
                <w:rFonts w:hint="eastAsia" w:ascii="宋体" w:hAnsi="宋体"/>
                <w:highlight w:val="yellow"/>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s="宋体"/>
                <w:szCs w:val="21"/>
              </w:rPr>
              <w:t>■</w:t>
            </w: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t>□有，条款及要求：</w:t>
            </w:r>
            <w:r>
              <w:rPr>
                <w:rFonts w:hint="eastAsia" w:ascii="宋体" w:hAnsi="宋体"/>
                <w:color w:val="000000"/>
                <w:szCs w:val="21"/>
                <w:u w:val="single"/>
              </w:rPr>
              <w:t>　</w:t>
            </w:r>
            <w:r>
              <w:rPr>
                <w:rFonts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p>
          <w:p>
            <w:pPr>
              <w:adjustRightInd w:val="0"/>
              <w:spacing w:line="280" w:lineRule="exact"/>
              <w:jc w:val="left"/>
              <w:rPr>
                <w:rFonts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jc w:val="left"/>
            </w:pPr>
            <w:r>
              <w:rPr>
                <w:rFonts w:hint="eastAsia" w:ascii="宋体" w:hAnsi="宋体"/>
                <w:b/>
                <w:bCs/>
              </w:rPr>
              <w:t>管理体系文件</w:t>
            </w:r>
          </w:p>
        </w:tc>
        <w:tc>
          <w:tcPr>
            <w:tcW w:w="960" w:type="dxa"/>
          </w:tcPr>
          <w:p/>
        </w:tc>
        <w:tc>
          <w:tcPr>
            <w:tcW w:w="10004" w:type="dxa"/>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2020年1月</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ascii="宋体" w:hAnsi="宋体"/>
                <w:color w:val="333333"/>
                <w:szCs w:val="21"/>
              </w:rPr>
            </w:pPr>
            <w:r>
              <w:rPr>
                <w:rFonts w:hint="eastAsia" w:ascii="Arial" w:hAnsi="Arial" w:cs="Arial"/>
                <w:szCs w:val="21"/>
              </w:rPr>
              <w:t>管理制度、作业指导书、检验规范。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ascii="宋体" w:hAnsi="宋体"/>
                <w:szCs w:val="22"/>
              </w:rPr>
              <w:t>19</w:t>
            </w:r>
            <w:r>
              <w:rPr>
                <w:rFonts w:hint="eastAsia" w:ascii="宋体" w:hAnsi="宋体"/>
                <w:szCs w:val="22"/>
              </w:rPr>
              <w:t>年1月</w:t>
            </w:r>
            <w:r>
              <w:rPr>
                <w:rFonts w:ascii="宋体" w:hAnsi="宋体"/>
                <w:szCs w:val="22"/>
              </w:rPr>
              <w:t>21</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ascii="Arial" w:hAnsi="Arial" w:cs="Arial"/>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r>
              <w:rPr>
                <w:rFonts w:hint="eastAsia"/>
                <w:szCs w:val="21"/>
              </w:rPr>
              <w:t>6.1</w:t>
            </w:r>
          </w:p>
        </w:tc>
        <w:tc>
          <w:tcPr>
            <w:tcW w:w="10004" w:type="dxa"/>
          </w:tcPr>
          <w:p>
            <w:pPr>
              <w:adjustRightInd w:val="0"/>
              <w:spacing w:line="360" w:lineRule="auto"/>
              <w:jc w:val="left"/>
              <w:rPr>
                <w:szCs w:val="21"/>
                <w:highlight w:val="yellow"/>
              </w:rPr>
            </w:pPr>
            <w:r>
              <w:rPr>
                <w:rFonts w:hint="eastAsia"/>
                <w:szCs w:val="21"/>
                <w:highlight w:val="yellow"/>
              </w:rPr>
              <w:t>与组织目标和战略方向相关并影响其实现管理体系预期结果的各种外部和内部因素:</w:t>
            </w:r>
          </w:p>
          <w:p>
            <w:pPr>
              <w:adjustRightInd w:val="0"/>
              <w:spacing w:line="360" w:lineRule="auto"/>
              <w:jc w:val="left"/>
              <w:rPr>
                <w:szCs w:val="21"/>
                <w:highlight w:val="yellow"/>
              </w:rPr>
            </w:pPr>
            <w:r>
              <w:rPr>
                <w:rFonts w:hint="eastAsia"/>
                <w:szCs w:val="21"/>
                <w:highlight w:val="yellow"/>
              </w:rPr>
              <w:t>1）确定情况：</w:t>
            </w:r>
          </w:p>
          <w:p>
            <w:pPr>
              <w:adjustRightInd w:val="0"/>
              <w:spacing w:line="360" w:lineRule="auto"/>
              <w:jc w:val="left"/>
              <w:rPr>
                <w:szCs w:val="21"/>
                <w:highlight w:val="yellow"/>
              </w:rPr>
            </w:pPr>
            <w:r>
              <w:rPr>
                <w:rFonts w:hint="eastAsia"/>
                <w:szCs w:val="21"/>
                <w:highlight w:val="yellow"/>
              </w:rPr>
              <w:t>提供《组织的内外重要环境因素分析表》，确定了公司相关的内外部因素。</w:t>
            </w:r>
          </w:p>
          <w:p>
            <w:pPr>
              <w:adjustRightInd w:val="0"/>
              <w:spacing w:line="360" w:lineRule="auto"/>
              <w:jc w:val="left"/>
              <w:rPr>
                <w:szCs w:val="21"/>
                <w:highlight w:val="yellow"/>
              </w:rPr>
            </w:pPr>
            <w:r>
              <w:rPr>
                <w:rFonts w:hint="eastAsia"/>
                <w:szCs w:val="21"/>
                <w:highlight w:val="yellow"/>
              </w:rPr>
              <w:t>2）监视和评审情况：</w:t>
            </w:r>
          </w:p>
          <w:p>
            <w:pPr>
              <w:adjustRightInd w:val="0"/>
              <w:spacing w:line="360" w:lineRule="auto"/>
              <w:jc w:val="left"/>
              <w:rPr>
                <w:rFonts w:ascii="Arial" w:hAnsi="Arial" w:cs="Arial"/>
                <w:szCs w:val="21"/>
                <w:highlight w:val="yellow"/>
              </w:rPr>
            </w:pPr>
            <w:r>
              <w:rPr>
                <w:rFonts w:hint="eastAsia"/>
                <w:szCs w:val="21"/>
                <w:highlight w:val="yellow"/>
              </w:rPr>
              <w:t xml:space="preserve">   每年监视评审一次，一般是从网络获取。</w:t>
            </w:r>
            <w:r>
              <w:rPr>
                <w:rFonts w:hint="eastAsia"/>
                <w:color w:val="4F81BD"/>
                <w:szCs w:val="21"/>
                <w:highlight w:val="yellow"/>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ascii="Arial" w:hAnsi="Arial" w:cs="Arial"/>
                <w:szCs w:val="21"/>
              </w:rPr>
            </w:pPr>
            <w:r>
              <w:rPr>
                <w:rFonts w:hint="eastAsia" w:ascii="宋体" w:hAnsi="宋体"/>
                <w:szCs w:val="21"/>
              </w:rPr>
              <w:t>提供《组织的内外重要环境因素分析表》，确定了公司相关的内外部因素。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default"/>
                <w:szCs w:val="21"/>
                <w:lang w:val="en-US"/>
              </w:rPr>
            </w:pPr>
            <w:r>
              <w:rPr>
                <w:rFonts w:hint="eastAsia" w:ascii="宋体" w:hAnsi="宋体"/>
                <w:szCs w:val="21"/>
              </w:rPr>
              <w:t xml:space="preserve">    </w:t>
            </w:r>
            <w:r>
              <w:rPr>
                <w:rFonts w:hint="eastAsia"/>
                <w:szCs w:val="21"/>
              </w:rPr>
              <w:t xml:space="preserve"> </w:t>
            </w:r>
            <w:r>
              <w:rPr>
                <w:rFonts w:hint="eastAsia"/>
                <w:szCs w:val="21"/>
                <w:lang w:val="en-US" w:eastAsia="zh-CN"/>
              </w:rPr>
              <w:t>组装调试</w:t>
            </w:r>
            <w:r>
              <w:rPr>
                <w:rFonts w:hint="eastAsia"/>
                <w:szCs w:val="21"/>
              </w:rPr>
              <w:t>过程：</w:t>
            </w:r>
            <w:r>
              <w:rPr>
                <w:rFonts w:hint="eastAsia"/>
                <w:b/>
                <w:sz w:val="20"/>
              </w:rPr>
              <w:t>需求信息</w:t>
            </w:r>
            <w:r>
              <w:rPr>
                <w:rFonts w:hint="eastAsia"/>
                <w:b/>
                <w:sz w:val="20"/>
                <w:lang w:val="en-US" w:eastAsia="zh-CN"/>
              </w:rPr>
              <w:t>-制定工作方案</w:t>
            </w:r>
            <w:r>
              <w:rPr>
                <w:rFonts w:hint="eastAsia"/>
                <w:b/>
                <w:sz w:val="20"/>
              </w:rPr>
              <w:t>-</w:t>
            </w:r>
            <w:r>
              <w:rPr>
                <w:rFonts w:hint="eastAsia"/>
                <w:b/>
                <w:sz w:val="20"/>
                <w:lang w:val="en-US" w:eastAsia="zh-CN"/>
              </w:rPr>
              <w:t>认可后-</w:t>
            </w:r>
            <w:r>
              <w:rPr>
                <w:rFonts w:hint="eastAsia"/>
                <w:b/>
                <w:sz w:val="20"/>
              </w:rPr>
              <w:t>签订合同-采购（向合格供应商订货）-</w:t>
            </w:r>
            <w:r>
              <w:rPr>
                <w:rFonts w:hint="eastAsia"/>
                <w:b/>
                <w:sz w:val="20"/>
                <w:lang w:val="en-US" w:eastAsia="zh-CN"/>
              </w:rPr>
              <w:t>组装-调试- 发货-顾客使用验收确认；</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adjustRightInd w:val="0"/>
              <w:spacing w:line="360" w:lineRule="auto"/>
              <w:ind w:firstLine="315" w:firstLineChars="150"/>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设计</w:t>
            </w:r>
            <w:r>
              <w:rPr>
                <w:rFonts w:hint="eastAsia" w:ascii="宋体" w:hAnsi="宋体"/>
              </w:rPr>
              <w:t>过程、</w:t>
            </w:r>
            <w:r>
              <w:rPr>
                <w:rFonts w:hint="eastAsia" w:ascii="宋体" w:hAnsi="宋体"/>
                <w:lang w:val="en-US" w:eastAsia="zh-CN"/>
              </w:rPr>
              <w:t>组装过程、调试</w:t>
            </w:r>
            <w:r>
              <w:rPr>
                <w:rFonts w:hint="eastAsia" w:ascii="宋体" w:hAnsi="宋体"/>
              </w:rPr>
              <w:t xml:space="preserve">过程 </w:t>
            </w:r>
          </w:p>
          <w:p>
            <w:pPr>
              <w:adjustRightInd w:val="0"/>
              <w:spacing w:line="360" w:lineRule="auto"/>
              <w:ind w:firstLine="315" w:firstLineChars="150"/>
              <w:jc w:val="left"/>
              <w:rPr>
                <w:rFonts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t>□</w:t>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cs="宋体"/>
                <w:szCs w:val="21"/>
              </w:rPr>
              <w:t>■</w:t>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r>
              <w:rPr>
                <w:rFonts w:hint="eastAsia" w:ascii="宋体" w:hAnsi="宋体"/>
                <w:color w:val="4F81BD"/>
                <w:lang w:val="en-US" w:eastAsia="zh-CN"/>
              </w:rPr>
              <w:t>运输过程；</w:t>
            </w:r>
          </w:p>
          <w:p>
            <w:pPr>
              <w:tabs>
                <w:tab w:val="left" w:pos="1305"/>
              </w:tabs>
              <w:rPr>
                <w:rFonts w:ascii="宋体" w:hAnsi="宋体"/>
                <w:szCs w:val="21"/>
              </w:rPr>
            </w:pPr>
            <w:r>
              <w:rPr>
                <w:rFonts w:hint="eastAsia" w:ascii="宋体" w:hAnsi="宋体"/>
              </w:rPr>
              <w:t xml:space="preserve">   </w:t>
            </w:r>
            <w:r>
              <w:rPr>
                <w:rFonts w:hint="eastAsia" w:ascii="宋体" w:hAnsi="宋体"/>
                <w:u w:val="single"/>
              </w:rPr>
              <w:t>按照Q8.4条款要求进行控制</w:t>
            </w:r>
            <w:r>
              <w:rPr>
                <w:rFonts w:hint="eastAsia" w:ascii="宋体" w:hAnsi="宋体"/>
                <w:u w:val="single"/>
                <w:lang w:eastAsia="zh-CN"/>
              </w:rPr>
              <w:t>，</w:t>
            </w:r>
            <w:r>
              <w:rPr>
                <w:rFonts w:hint="eastAsia" w:ascii="宋体" w:hAnsi="宋体"/>
                <w:u w:val="single"/>
                <w:lang w:val="en-US" w:eastAsia="zh-CN"/>
              </w:rPr>
              <w:t>纳入供应商评价体系</w:t>
            </w:r>
            <w:r>
              <w:rPr>
                <w:rFonts w:hint="eastAsia" w:ascii="宋体" w:hAnsi="宋体"/>
                <w:u w:val="single"/>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办公过程、采购过程、</w:t>
            </w:r>
            <w:r>
              <w:rPr>
                <w:rFonts w:hint="eastAsia" w:ascii="宋体" w:hAnsi="宋体"/>
                <w:u w:val="single"/>
                <w:lang w:val="en-US" w:eastAsia="zh-CN"/>
              </w:rPr>
              <w:t>组装</w:t>
            </w:r>
            <w:r>
              <w:rPr>
                <w:rFonts w:hint="eastAsia" w:ascii="宋体" w:hAnsi="宋体"/>
                <w:u w:val="single"/>
              </w:rPr>
              <w:t>过程、</w:t>
            </w:r>
            <w:r>
              <w:rPr>
                <w:rFonts w:hint="eastAsia" w:ascii="宋体" w:hAnsi="宋体"/>
                <w:u w:val="single"/>
                <w:lang w:val="en-US" w:eastAsia="zh-CN"/>
              </w:rPr>
              <w:t>调试过程、</w:t>
            </w:r>
            <w:r>
              <w:rPr>
                <w:rFonts w:hint="eastAsia" w:ascii="宋体" w:hAnsi="宋体"/>
                <w:u w:val="single"/>
              </w:rPr>
              <w:t>销售过程</w:t>
            </w:r>
            <w:r>
              <w:rPr>
                <w:rFonts w:ascii="宋体" w:hAnsi="宋体"/>
                <w:u w:val="single"/>
              </w:rPr>
              <w:t xml:space="preserve"> </w:t>
            </w:r>
            <w:r>
              <w:rPr>
                <w:rFonts w:hint="eastAsia" w:ascii="宋体" w:hAnsi="宋体"/>
                <w:u w:val="single"/>
              </w:rPr>
              <w:t>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2  </w:t>
            </w:r>
            <w:r>
              <w:rPr>
                <w:rFonts w:hint="eastAsia" w:ascii="宋体" w:hAnsi="宋体"/>
              </w:rPr>
              <w:t>项，经评价为重要环境因素的有：</w:t>
            </w:r>
          </w:p>
          <w:p>
            <w:pPr>
              <w:adjustRightInd w:val="0"/>
              <w:spacing w:line="360" w:lineRule="auto"/>
              <w:jc w:val="left"/>
              <w:rPr>
                <w:rFonts w:ascii="宋体"/>
              </w:rPr>
            </w:pPr>
            <w:r>
              <w:rPr>
                <w:rFonts w:hint="eastAsia" w:ascii="宋体" w:hAnsi="宋体"/>
                <w:u w:val="single"/>
              </w:rPr>
              <w:t>危废的产生（废粉、废硒鼓、废墨盒、废旧日光灯等）；用电超出负荷、线路老化、吸烟等。</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adjustRightInd w:val="0"/>
              <w:spacing w:line="360" w:lineRule="auto"/>
              <w:jc w:val="left"/>
              <w:rPr>
                <w:rFonts w:ascii="宋体" w:hAnsi="宋体"/>
                <w:szCs w:val="21"/>
              </w:rPr>
            </w:pP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w:t>
            </w:r>
            <w:r>
              <w:rPr>
                <w:rFonts w:ascii="宋体" w:hAnsi="宋体"/>
                <w:u w:val="single"/>
              </w:rPr>
              <w:t xml:space="preserve"> </w:t>
            </w:r>
            <w:r>
              <w:rPr>
                <w:rFonts w:hint="eastAsia" w:ascii="宋体" w:hAnsi="宋体"/>
                <w:u w:val="single"/>
              </w:rPr>
              <w:t>办公过程、采购过程、</w:t>
            </w:r>
            <w:r>
              <w:rPr>
                <w:rFonts w:hint="eastAsia" w:ascii="宋体" w:hAnsi="宋体"/>
                <w:u w:val="single"/>
                <w:lang w:val="en-US" w:eastAsia="zh-CN"/>
              </w:rPr>
              <w:t>组装</w:t>
            </w:r>
            <w:r>
              <w:rPr>
                <w:rFonts w:hint="eastAsia" w:ascii="宋体" w:hAnsi="宋体"/>
                <w:u w:val="single"/>
              </w:rPr>
              <w:t>过程、</w:t>
            </w:r>
            <w:r>
              <w:rPr>
                <w:rFonts w:hint="eastAsia" w:ascii="宋体" w:hAnsi="宋体"/>
                <w:u w:val="single"/>
                <w:lang w:val="en-US" w:eastAsia="zh-CN"/>
              </w:rPr>
              <w:t>调试过程、</w:t>
            </w:r>
            <w:r>
              <w:rPr>
                <w:rFonts w:hint="eastAsia" w:ascii="宋体" w:hAnsi="宋体"/>
                <w:u w:val="single"/>
              </w:rPr>
              <w:t>销售过程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3  </w:t>
            </w:r>
            <w:r>
              <w:rPr>
                <w:rFonts w:hint="eastAsia" w:ascii="宋体" w:hAnsi="宋体"/>
              </w:rPr>
              <w:t>项，包括：</w:t>
            </w:r>
          </w:p>
          <w:p>
            <w:pPr>
              <w:adjustRightInd w:val="0"/>
              <w:spacing w:line="360" w:lineRule="auto"/>
              <w:jc w:val="left"/>
              <w:rPr>
                <w:rFonts w:ascii="宋体"/>
              </w:rPr>
            </w:pPr>
            <w:r>
              <w:rPr>
                <w:rFonts w:hint="eastAsia" w:ascii="宋体" w:hAnsi="宋体"/>
                <w:u w:val="single"/>
              </w:rPr>
              <w:t>火灾、触电、人员伤亡等</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Cs w:val="21"/>
              </w:rPr>
              <w:t>☑齐全</w:t>
            </w:r>
          </w:p>
          <w:p>
            <w:pPr>
              <w:adjustRightInd w:val="0"/>
              <w:spacing w:line="360" w:lineRule="auto"/>
              <w:jc w:val="left"/>
              <w:rPr>
                <w:rFonts w:ascii="宋体" w:hAnsi="宋体"/>
              </w:rPr>
            </w:pP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相关法律法规及其它要求的遵守情况</w:t>
            </w:r>
          </w:p>
        </w:tc>
        <w:tc>
          <w:tcPr>
            <w:tcW w:w="960" w:type="dxa"/>
          </w:tcP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t>□</w:t>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szCs w:val="21"/>
              </w:rPr>
              <w:t>■</w:t>
            </w:r>
            <w:r>
              <w:rPr>
                <w:rFonts w:hint="eastAsia" w:ascii="宋体" w:hAnsi="宋体"/>
              </w:rPr>
              <w:t>未提供</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rPr>
              <w:t>说明：</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highlight w:val="yellow"/>
              </w:rPr>
            </w:pPr>
            <w:r>
              <w:rPr>
                <w:rFonts w:ascii="宋体" w:hAnsi="宋体"/>
                <w:szCs w:val="21"/>
                <w:highlight w:val="none"/>
              </w:rPr>
              <w:t>2</w:t>
            </w:r>
            <w:r>
              <w:rPr>
                <w:rFonts w:hint="eastAsia" w:ascii="宋体" w:hAnsi="宋体"/>
                <w:szCs w:val="21"/>
                <w:highlight w:val="none"/>
              </w:rPr>
              <w:t>、组织识别了适用的法律、法规、标准和规范，主要包括：</w:t>
            </w:r>
            <w:r>
              <w:rPr>
                <w:rFonts w:ascii="宋体" w:hAnsi="宋体"/>
                <w:szCs w:val="21"/>
                <w:highlight w:val="none"/>
                <w:u w:val="single"/>
              </w:rPr>
              <w:t xml:space="preserve">  </w:t>
            </w:r>
            <w:r>
              <w:rPr>
                <w:rFonts w:hint="eastAsia" w:ascii="宋体" w:hAnsi="宋体"/>
                <w:szCs w:val="24"/>
                <w:highlight w:val="none"/>
                <w:u w:val="single"/>
              </w:rPr>
              <w:t>环保法、质量法、消防法、大气污染防治法、水污染防治法、所识别的法律法规中中华人民共和国环境噪声污染防治法（2016）、中华人民共和国消防法（2009）、中华人民共和国环境影响评价法（2016）等未收集最新修订版本。</w:t>
            </w:r>
            <w:r>
              <w:rPr>
                <w:rFonts w:ascii="宋体" w:hAnsi="宋体"/>
                <w:szCs w:val="21"/>
                <w:highlight w:val="none"/>
                <w:u w:val="single"/>
              </w:rPr>
              <w:t xml:space="preserve">                           </w:t>
            </w:r>
            <w:r>
              <w:rPr>
                <w:rFonts w:ascii="宋体" w:hAnsi="宋体"/>
                <w:szCs w:val="21"/>
                <w:highlight w:val="yellow"/>
                <w:u w:val="single"/>
              </w:rPr>
              <w:t xml:space="preserve">                                                           </w:t>
            </w:r>
            <w:r>
              <w:rPr>
                <w:rFonts w:hint="eastAsia" w:ascii="宋体" w:hAnsi="宋体"/>
                <w:szCs w:val="21"/>
                <w:highlight w:val="yellow"/>
                <w:u w:val="single"/>
              </w:rPr>
              <w:t>　　</w:t>
            </w:r>
            <w:r>
              <w:rPr>
                <w:rFonts w:ascii="宋体" w:hAnsi="宋体"/>
                <w:szCs w:val="21"/>
                <w:highlight w:val="yellow"/>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运行控制和关键绩效：</w:t>
            </w:r>
          </w:p>
        </w:tc>
        <w:tc>
          <w:tcPr>
            <w:tcW w:w="960" w:type="dxa"/>
          </w:tcPr>
          <w:p>
            <w:r>
              <w:rPr>
                <w:rFonts w:hint="eastAsia"/>
              </w:rPr>
              <w:t>8.1</w:t>
            </w: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宋体"/>
                <w:u w:val="single"/>
              </w:rPr>
              <w:t>主要依据顾客要求</w:t>
            </w:r>
            <w:r>
              <w:rPr>
                <w:rFonts w:hint="eastAsia" w:ascii="宋体" w:hAnsi="宋体"/>
                <w:u w:val="single"/>
                <w:lang w:eastAsia="zh-CN"/>
              </w:rPr>
              <w:t>，</w:t>
            </w:r>
            <w:r>
              <w:rPr>
                <w:rFonts w:hint="eastAsia" w:ascii="宋体" w:hAnsi="宋体"/>
                <w:u w:val="single"/>
                <w:lang w:val="en-US" w:eastAsia="zh-CN"/>
              </w:rPr>
              <w:t>按项目实施方案，</w:t>
            </w:r>
            <w:r>
              <w:rPr>
                <w:rFonts w:hint="eastAsia" w:ascii="宋体" w:hAnsi="宋体"/>
                <w:u w:val="single"/>
              </w:rPr>
              <w:t>在合同内明确产品技术要求、</w:t>
            </w:r>
            <w:r>
              <w:rPr>
                <w:rFonts w:hint="eastAsia" w:ascii="宋体" w:hAnsi="宋体"/>
                <w:u w:val="single"/>
                <w:lang w:val="en-US" w:eastAsia="zh-CN"/>
              </w:rPr>
              <w:t>实现功能</w:t>
            </w:r>
            <w:r>
              <w:rPr>
                <w:rFonts w:hint="eastAsia" w:ascii="宋体" w:hAnsi="宋体"/>
                <w:u w:val="single"/>
              </w:rPr>
              <w:t>等</w:t>
            </w:r>
            <w:r>
              <w:rPr>
                <w:rFonts w:hint="eastAsia" w:ascii="宋体"/>
                <w:u w:val="single"/>
              </w:rPr>
              <w:t>。</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val="en-US" w:eastAsia="zh-CN"/>
              </w:rPr>
              <w:t>机器人交付后</w:t>
            </w:r>
            <w:r>
              <w:rPr>
                <w:rFonts w:hint="eastAsia" w:ascii="宋体" w:hAnsi="宋体"/>
                <w:szCs w:val="22"/>
                <w:lang w:val="en-US" w:eastAsia="zh-CN"/>
              </w:rPr>
              <w:t xml:space="preserve">，客户使用验收确认报告 </w:t>
            </w:r>
            <w:r>
              <w:rPr>
                <w:rFonts w:hint="eastAsia" w:ascii="宋体" w:hAnsi="宋体"/>
              </w:rPr>
              <w:t xml:space="preserve"> □</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bookmarkStart w:id="0" w:name="_GoBack"/>
            <w:bookmarkEnd w:id="0"/>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ascii="宋体" w:hAnsi="宋体"/>
                <w:szCs w:val="21"/>
              </w:rPr>
            </w:pPr>
            <w:r>
              <w:rPr>
                <w:rFonts w:hint="eastAsia" w:ascii="宋体" w:hAnsi="宋体"/>
                <w:b/>
                <w:szCs w:val="21"/>
              </w:rPr>
              <w:t xml:space="preserve">       能满足顾客的要求，顾客反应良好，质量较好。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hint="eastAsia" w:ascii="宋体" w:hAnsi="宋体"/>
                <w:u w:val="single"/>
              </w:rPr>
              <w:t>危废的产生（废粉、废硒鼓、废墨盒、废旧日光灯等）；用电超出负荷、线路老化、吸烟等</w:t>
            </w:r>
            <w:r>
              <w:rPr>
                <w:rFonts w:hint="eastAsia" w:ascii="宋体" w:hAnsi="宋体"/>
                <w:szCs w:val="21"/>
                <w:u w:val="single"/>
              </w:rPr>
              <w:t>。</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ascii="宋体" w:hAnsi="宋体"/>
                <w:szCs w:val="21"/>
                <w:highlight w:val="yellow"/>
              </w:rPr>
            </w:pPr>
            <w:r>
              <w:rPr>
                <w:rFonts w:hint="eastAsia" w:ascii="宋体" w:hAnsi="宋体"/>
              </w:rPr>
              <w:t>--存在问题：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ind w:firstLine="210" w:firstLineChars="100"/>
              <w:jc w:val="left"/>
              <w:rPr>
                <w:rFonts w:ascii="宋体" w:hAnsi="宋体"/>
                <w:szCs w:val="21"/>
              </w:rPr>
            </w:pPr>
            <w:r>
              <w:rPr>
                <w:rFonts w:hint="eastAsia" w:ascii="宋体" w:hAnsi="宋体"/>
                <w:u w:val="single"/>
              </w:rPr>
              <w:t>火灾、触电、人员伤亡</w:t>
            </w:r>
            <w:r>
              <w:rPr>
                <w:rFonts w:ascii="宋体"/>
                <w:szCs w:val="21"/>
                <w:u w:val="single"/>
              </w:rPr>
              <w:t xml:space="preserve">                  </w:t>
            </w:r>
          </w:p>
          <w:p>
            <w:pPr>
              <w:adjustRightInd w:val="0"/>
              <w:spacing w:line="360" w:lineRule="auto"/>
              <w:jc w:val="left"/>
              <w:rPr>
                <w:rFonts w:ascii="宋体" w:hAnsi="宋体"/>
                <w:szCs w:val="21"/>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良好。</w:t>
            </w:r>
            <w:r>
              <w:rPr>
                <w:rFonts w:ascii="宋体" w:hAnsi="宋体"/>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r>
              <w:rPr>
                <w:rFonts w:hint="eastAsia" w:ascii="宋体" w:hAnsi="宋体"/>
                <w:szCs w:val="21"/>
              </w:rPr>
              <w:t>管理体系的方针、目标/指标/措施方案及实现情况</w:t>
            </w:r>
          </w:p>
        </w:tc>
        <w:tc>
          <w:tcPr>
            <w:tcW w:w="960" w:type="dxa"/>
          </w:tcPr>
          <w:p>
            <w:r>
              <w:rPr>
                <w:rFonts w:hint="eastAsia"/>
              </w:rPr>
              <w:t>5.2/6.1/6.2</w:t>
            </w:r>
          </w:p>
        </w:tc>
        <w:tc>
          <w:tcPr>
            <w:tcW w:w="10004" w:type="dxa"/>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组织内部审核策划和实施情况</w:t>
            </w:r>
          </w:p>
        </w:tc>
        <w:tc>
          <w:tcPr>
            <w:tcW w:w="960" w:type="dxa"/>
          </w:tcPr>
          <w:p>
            <w:r>
              <w:rPr>
                <w:rFonts w:hint="eastAsia"/>
              </w:rPr>
              <w:t>9.2</w:t>
            </w:r>
          </w:p>
        </w:tc>
        <w:tc>
          <w:tcPr>
            <w:tcW w:w="10004" w:type="dxa"/>
          </w:tcPr>
          <w:p>
            <w:pPr>
              <w:pStyle w:val="12"/>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4</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29</w:t>
            </w:r>
            <w:r>
              <w:rPr>
                <w:rFonts w:hint="eastAsia" w:ascii="宋体" w:hAnsi="宋体"/>
                <w:u w:val="single"/>
              </w:rPr>
              <w:t>　</w:t>
            </w:r>
            <w:r>
              <w:rPr>
                <w:rFonts w:hint="eastAsia" w:ascii="宋体" w:hAnsi="宋体"/>
              </w:rPr>
              <w:t>日至</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lang w:val="en-US" w:eastAsia="zh-CN"/>
              </w:rPr>
              <w:t>4</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30</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u w:val="single"/>
              </w:rPr>
              <w:t>　　公司的管理体系符合标准要求，体系运行有效。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组织进行管理评审的情况</w:t>
            </w:r>
          </w:p>
        </w:tc>
        <w:tc>
          <w:tcPr>
            <w:tcW w:w="960" w:type="dxa"/>
          </w:tcPr>
          <w:p>
            <w:r>
              <w:rPr>
                <w:rFonts w:hint="eastAsia"/>
              </w:rPr>
              <w:t>9.3</w:t>
            </w:r>
          </w:p>
        </w:tc>
        <w:tc>
          <w:tcPr>
            <w:tcW w:w="10004" w:type="dxa"/>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20</w:t>
            </w:r>
            <w:r>
              <w:rPr>
                <w:rFonts w:ascii="宋体" w:hAnsi="宋体"/>
                <w:u w:val="single"/>
              </w:rPr>
              <w:t xml:space="preserve"> </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5</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6</w:t>
            </w:r>
            <w:r>
              <w:rPr>
                <w:rFonts w:hint="eastAsia" w:ascii="宋体" w:hAnsi="宋体"/>
                <w:u w:val="single"/>
              </w:rPr>
              <w:t>　</w:t>
            </w:r>
            <w:r>
              <w:rPr>
                <w:rFonts w:hint="eastAsia" w:ascii="宋体" w:hAnsi="宋体"/>
              </w:rPr>
              <w:t>日实施，由最高管理者：许振红主持，实施方式：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ascii="宋体" w:hAnsi="宋体"/>
                <w:szCs w:val="21"/>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质量环境</w:t>
            </w:r>
            <w:r>
              <w:rPr>
                <w:rFonts w:ascii="宋体" w:hAnsi="宋体"/>
                <w:u w:val="single"/>
              </w:rPr>
              <w:t>职业健康</w:t>
            </w:r>
            <w:r>
              <w:rPr>
                <w:rFonts w:hint="eastAsia" w:ascii="宋体" w:hAnsi="宋体"/>
                <w:u w:val="single"/>
              </w:rPr>
              <w:t>安全管理体系运行是有效的，资源提供是充分的，方针目标是适宜的。</w:t>
            </w:r>
          </w:p>
        </w:tc>
        <w:tc>
          <w:tcPr>
            <w:tcW w:w="158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29D9"/>
    <w:rsid w:val="00077F03"/>
    <w:rsid w:val="00113BEC"/>
    <w:rsid w:val="001F3F0A"/>
    <w:rsid w:val="00354FF0"/>
    <w:rsid w:val="003A50E6"/>
    <w:rsid w:val="00A429D9"/>
    <w:rsid w:val="00B27209"/>
    <w:rsid w:val="00B35626"/>
    <w:rsid w:val="00FE7DAC"/>
    <w:rsid w:val="0F69290C"/>
    <w:rsid w:val="16595F6D"/>
    <w:rsid w:val="3F857D2F"/>
    <w:rsid w:val="51467314"/>
    <w:rsid w:val="599D0BA2"/>
    <w:rsid w:val="69D16164"/>
    <w:rsid w:val="726D3411"/>
    <w:rsid w:val="73AD6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3"/>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 w:type="character" w:customStyle="1" w:styleId="13">
    <w:name w:val="正文文本缩进 字符"/>
    <w:basedOn w:val="7"/>
    <w:link w:val="2"/>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592</Words>
  <Characters>3380</Characters>
  <Lines>28</Lines>
  <Paragraphs>7</Paragraphs>
  <TotalTime>2</TotalTime>
  <ScaleCrop>false</ScaleCrop>
  <LinksUpToDate>false</LinksUpToDate>
  <CharactersWithSpaces>3965</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2020-05-11T08:30:23Z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