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61"/>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61"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管理层、</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      总经理：曹建忠    管代：</w:t>
            </w:r>
            <w:r>
              <w:rPr>
                <w:rFonts w:hint="eastAsia" w:asciiTheme="minorEastAsia" w:hAnsiTheme="minorEastAsia" w:eastAsiaTheme="minorEastAsia" w:cstheme="minorEastAsia"/>
                <w:color w:val="auto"/>
                <w:sz w:val="21"/>
                <w:szCs w:val="21"/>
              </w:rPr>
              <w:t>曹建民</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陪同人员：冯静</w:t>
            </w:r>
            <w:r>
              <w:rPr>
                <w:rFonts w:hint="eastAsia" w:asciiTheme="minorEastAsia" w:hAnsiTheme="minorEastAsia" w:eastAsiaTheme="minorEastAsia" w:cstheme="minorEastAsia"/>
                <w:color w:val="auto"/>
                <w:sz w:val="21"/>
                <w:szCs w:val="21"/>
                <w:lang w:eastAsia="zh-CN"/>
              </w:rPr>
              <w:t>等</w:t>
            </w:r>
          </w:p>
        </w:tc>
        <w:tc>
          <w:tcPr>
            <w:tcW w:w="628"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61" w:type="dxa"/>
            <w:vAlign w:val="center"/>
          </w:tcPr>
          <w:p>
            <w:pPr>
              <w:spacing w:before="12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 xml:space="preserve">王志慧                   </w:t>
            </w:r>
            <w:r>
              <w:rPr>
                <w:rFonts w:hint="eastAsia" w:asciiTheme="minorEastAsia" w:hAnsiTheme="minorEastAsia" w:eastAsiaTheme="minorEastAsia" w:cstheme="minorEastAsia"/>
                <w:color w:val="auto"/>
                <w:sz w:val="21"/>
                <w:szCs w:val="21"/>
              </w:rPr>
              <w:t>审核时间：</w:t>
            </w:r>
            <w:r>
              <w:rPr>
                <w:rFonts w:hint="eastAsia" w:asciiTheme="minorEastAsia" w:hAnsiTheme="minorEastAsia" w:eastAsiaTheme="minorEastAsia" w:cstheme="minorEastAsia"/>
                <w:color w:val="auto"/>
                <w:sz w:val="21"/>
                <w:szCs w:val="21"/>
                <w:lang w:val="en-US" w:eastAsia="zh-CN"/>
              </w:rPr>
              <w:t>2020年4月29-30</w:t>
            </w:r>
            <w:bookmarkStart w:id="1" w:name="_GoBack"/>
            <w:bookmarkEnd w:id="1"/>
            <w:r>
              <w:rPr>
                <w:rFonts w:hint="eastAsia" w:asciiTheme="minorEastAsia" w:hAnsiTheme="minorEastAsia" w:eastAsiaTheme="minorEastAsia" w:cstheme="minorEastAsia"/>
                <w:color w:val="auto"/>
                <w:sz w:val="21"/>
                <w:szCs w:val="21"/>
                <w:lang w:val="en-US" w:eastAsia="zh-CN"/>
              </w:rPr>
              <w:t>日</w:t>
            </w:r>
          </w:p>
        </w:tc>
        <w:tc>
          <w:tcPr>
            <w:tcW w:w="628"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61"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审核条款：</w:t>
            </w:r>
            <w:r>
              <w:rPr>
                <w:rFonts w:hint="eastAsia" w:asciiTheme="minorEastAsia" w:hAnsiTheme="minorEastAsia" w:eastAsiaTheme="minorEastAsia" w:cstheme="minorEastAsia"/>
                <w:color w:val="auto"/>
                <w:sz w:val="21"/>
                <w:szCs w:val="21"/>
                <w:lang w:val="en-US" w:eastAsia="zh-CN"/>
              </w:rPr>
              <w:t>略</w:t>
            </w:r>
          </w:p>
        </w:tc>
        <w:tc>
          <w:tcPr>
            <w:tcW w:w="628"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企业简介、组织机构及场所、资质</w:t>
            </w: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hint="eastAsia" w:ascii="宋体" w:hAnsi="宋体"/>
                <w:color w:val="auto"/>
                <w:szCs w:val="21"/>
              </w:rPr>
            </w:pPr>
          </w:p>
          <w:p>
            <w:pPr>
              <w:spacing w:line="400" w:lineRule="exact"/>
              <w:rPr>
                <w:rFonts w:ascii="宋体" w:hAnsi="宋体"/>
                <w:color w:val="auto"/>
                <w:szCs w:val="21"/>
              </w:rPr>
            </w:pPr>
            <w:r>
              <w:rPr>
                <w:rFonts w:hint="eastAsia" w:ascii="宋体" w:hAnsi="宋体"/>
                <w:color w:val="auto"/>
                <w:szCs w:val="21"/>
              </w:rPr>
              <w:t>管理体系运行时间（3 个月以上）</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确认组织实际与管理体系文件化信息描述的一致性</w:t>
            </w:r>
          </w:p>
        </w:tc>
        <w:tc>
          <w:tcPr>
            <w:tcW w:w="960" w:type="dxa"/>
            <w:vAlign w:val="top"/>
          </w:tcPr>
          <w:p>
            <w:pPr>
              <w:adjustRightInd w:val="0"/>
              <w:snapToGrid w:val="0"/>
              <w:rPr>
                <w:rFonts w:ascii="宋体" w:hAnsi="宋体" w:cs="宋体"/>
                <w:color w:val="auto"/>
                <w:szCs w:val="21"/>
              </w:rPr>
            </w:pPr>
            <w:r>
              <w:rPr>
                <w:rFonts w:hint="eastAsia" w:ascii="宋体" w:hAnsi="宋体"/>
                <w:color w:val="auto"/>
                <w:szCs w:val="21"/>
                <w:lang w:val="en-US" w:eastAsia="zh-CN"/>
              </w:rPr>
              <w:t>Q/E/S:</w:t>
            </w:r>
            <w:r>
              <w:rPr>
                <w:rFonts w:hint="eastAsia" w:ascii="宋体" w:hAnsi="宋体" w:cs="宋体"/>
                <w:color w:val="auto"/>
                <w:szCs w:val="21"/>
              </w:rPr>
              <w:t>4.1;4.2;4.3;4.4</w:t>
            </w:r>
          </w:p>
          <w:p>
            <w:pPr>
              <w:spacing w:line="440" w:lineRule="exact"/>
              <w:jc w:val="center"/>
              <w:rPr>
                <w:rFonts w:hint="default" w:ascii="宋体" w:hAnsi="宋体" w:eastAsia="宋体"/>
                <w:color w:val="auto"/>
                <w:szCs w:val="21"/>
                <w:lang w:val="en-US" w:eastAsia="zh-CN"/>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color w:val="auto"/>
                <w:szCs w:val="21"/>
              </w:rPr>
            </w:pPr>
          </w:p>
          <w:p>
            <w:pPr>
              <w:spacing w:line="440" w:lineRule="exact"/>
              <w:rPr>
                <w:rFonts w:hint="eastAsia" w:asciiTheme="minorEastAsia" w:hAnsiTheme="minorEastAsia" w:eastAsiaTheme="minorEastAsia" w:cstheme="minorEastAsia"/>
                <w:color w:val="auto"/>
                <w:sz w:val="21"/>
                <w:szCs w:val="21"/>
              </w:rPr>
            </w:pPr>
          </w:p>
        </w:tc>
        <w:tc>
          <w:tcPr>
            <w:tcW w:w="10961" w:type="dxa"/>
            <w:vAlign w:val="top"/>
          </w:tcPr>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河北烨普塑业有限公司成立于2019年10月22日，位于河北省宁晋县，是主营PPR、PE管与管件、自来水管材与管件、水暖件、水暖件</w:t>
            </w:r>
            <w:r>
              <w:rPr>
                <w:rFonts w:hint="eastAsia" w:asciiTheme="minorEastAsia" w:hAnsiTheme="minorEastAsia" w:eastAsiaTheme="minorEastAsia" w:cstheme="minorEastAsia"/>
                <w:color w:val="auto"/>
                <w:lang w:eastAsia="zh-CN"/>
              </w:rPr>
              <w:t>等产品</w:t>
            </w:r>
            <w:r>
              <w:rPr>
                <w:rFonts w:hint="eastAsia" w:asciiTheme="minorEastAsia" w:hAnsiTheme="minorEastAsia" w:eastAsiaTheme="minorEastAsia" w:cstheme="minorEastAsia"/>
                <w:color w:val="auto"/>
              </w:rPr>
              <w:t>销售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服务于建筑行业。地址：河北省邢台市宁晋县耿庄桥镇曹家台村村东</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p>
            <w:pPr>
              <w:spacing w:line="400" w:lineRule="exact"/>
              <w:rPr>
                <w:rFonts w:hint="eastAsia" w:asciiTheme="minorEastAsia" w:hAnsiTheme="minorEastAsia" w:eastAsiaTheme="minorEastAsia" w:cstheme="minorEastAsia"/>
                <w:color w:val="auto"/>
                <w:sz w:val="21"/>
                <w:szCs w:val="21"/>
                <w:lang w:val="en-US" w:eastAsia="zh-CN"/>
              </w:rPr>
            </w:pPr>
          </w:p>
          <w:p>
            <w:pPr>
              <w:ind w:firstLine="420" w:firstLineChars="200"/>
              <w:rPr>
                <w:rFonts w:hint="eastAsia"/>
                <w:color w:val="auto"/>
                <w:sz w:val="21"/>
                <w:szCs w:val="21"/>
              </w:rPr>
            </w:pPr>
            <w:r>
              <w:rPr>
                <w:rFonts w:hint="eastAsia"/>
              </w:rPr>
              <w:t>经</w:t>
            </w:r>
            <w:r>
              <w:rPr>
                <w:rFonts w:hint="eastAsia"/>
                <w:color w:val="auto"/>
              </w:rPr>
              <w:t>确认受审核方的管理体系范围为：</w:t>
            </w:r>
          </w:p>
          <w:p>
            <w:pPr>
              <w:rPr>
                <w:sz w:val="21"/>
                <w:szCs w:val="21"/>
              </w:rPr>
            </w:pPr>
            <w:bookmarkStart w:id="0" w:name="审核范围"/>
            <w:r>
              <w:rPr>
                <w:sz w:val="21"/>
                <w:szCs w:val="21"/>
              </w:rPr>
              <w:t>Q：PPR、PE管、管件、水暖件的销售</w:t>
            </w:r>
          </w:p>
          <w:p>
            <w:pPr>
              <w:rPr>
                <w:sz w:val="21"/>
                <w:szCs w:val="21"/>
              </w:rPr>
            </w:pPr>
            <w:r>
              <w:rPr>
                <w:sz w:val="21"/>
                <w:szCs w:val="21"/>
              </w:rPr>
              <w:t>E：PPR、PE管、管件、水暖件的销售所涉及的相关环境管理活动</w:t>
            </w:r>
          </w:p>
          <w:p>
            <w:pPr>
              <w:pStyle w:val="2"/>
              <w:rPr>
                <w:rFonts w:hint="eastAsia"/>
                <w:sz w:val="21"/>
                <w:szCs w:val="21"/>
              </w:rPr>
            </w:pPr>
            <w:r>
              <w:rPr>
                <w:sz w:val="21"/>
                <w:szCs w:val="21"/>
              </w:rPr>
              <w:t>O：PPR、PE管、管件、水暖件的销售所涉及的相关职业健康安全管理活动</w:t>
            </w:r>
            <w:bookmarkEnd w:id="0"/>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Q8.3不适合条款的确认</w:t>
            </w:r>
            <w:r>
              <w:rPr>
                <w:rFonts w:hint="eastAsia" w:ascii="宋体" w:hAnsi="宋体"/>
                <w:color w:val="auto"/>
                <w:szCs w:val="21"/>
                <w:highlight w:val="none"/>
                <w:lang w:val="en-US" w:eastAsia="zh-CN"/>
              </w:rPr>
              <w:t>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r>
              <w:rPr>
                <w:rFonts w:hint="eastAsia" w:asciiTheme="minorEastAsia" w:hAnsiTheme="minorEastAsia" w:eastAsiaTheme="minorEastAsia" w:cstheme="minorEastAsia"/>
                <w:color w:val="auto"/>
                <w:sz w:val="21"/>
                <w:szCs w:val="21"/>
              </w:rPr>
              <w:t xml:space="preserve">  </w:t>
            </w:r>
          </w:p>
          <w:p>
            <w:pPr>
              <w:pStyle w:val="2"/>
              <w:rPr>
                <w:rFonts w:hint="eastAsia"/>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询问，主要设备为</w:t>
            </w:r>
            <w:r>
              <w:rPr>
                <w:rFonts w:hint="eastAsia" w:asciiTheme="minorEastAsia" w:hAnsiTheme="minorEastAsia" w:eastAsiaTheme="minorEastAsia" w:cstheme="minorEastAsia"/>
                <w:color w:val="auto"/>
                <w:sz w:val="21"/>
                <w:szCs w:val="21"/>
                <w:lang w:val="en-US" w:eastAsia="zh-CN"/>
              </w:rPr>
              <w:t>电脑及办公设备</w:t>
            </w:r>
            <w:r>
              <w:rPr>
                <w:rFonts w:hint="eastAsia" w:asciiTheme="minorEastAsia" w:hAnsiTheme="minorEastAsia" w:eastAsiaTheme="minorEastAsia" w:cstheme="minorEastAsia"/>
                <w:color w:val="auto"/>
                <w:sz w:val="21"/>
                <w:szCs w:val="21"/>
              </w:rPr>
              <w:t>等。</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关键</w:t>
            </w:r>
            <w:r>
              <w:rPr>
                <w:rFonts w:hint="eastAsia" w:asciiTheme="minorEastAsia" w:hAnsiTheme="minorEastAsia" w:eastAsiaTheme="minorEastAsia" w:cstheme="minorEastAsia"/>
                <w:color w:val="auto"/>
                <w:sz w:val="21"/>
                <w:szCs w:val="21"/>
              </w:rPr>
              <w:t>过程：销售过程。</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查体系运行时间：2019年</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日。</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组织实际与管理体系文件化信息描述基本一致。有管理层、</w:t>
            </w:r>
            <w:r>
              <w:rPr>
                <w:rFonts w:hint="eastAsia" w:asciiTheme="minorEastAsia" w:hAnsiTheme="minorEastAsia" w:eastAsiaTheme="minorEastAsia" w:cstheme="minorEastAsia"/>
                <w:color w:val="auto"/>
                <w:sz w:val="21"/>
                <w:szCs w:val="21"/>
                <w:lang w:val="en-US" w:eastAsia="zh-CN"/>
              </w:rPr>
              <w:t>销售部、采购部、办公室</w:t>
            </w:r>
            <w:r>
              <w:rPr>
                <w:rFonts w:hint="eastAsia" w:asciiTheme="minorEastAsia" w:hAnsiTheme="minorEastAsia" w:eastAsiaTheme="minorEastAsia" w:cstheme="minorEastAsia"/>
                <w:color w:val="auto"/>
                <w:sz w:val="21"/>
                <w:szCs w:val="21"/>
              </w:rPr>
              <w:t>。</w:t>
            </w:r>
          </w:p>
          <w:p>
            <w:pPr>
              <w:spacing w:line="4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查，管理体系文件名称：</w:t>
            </w:r>
            <w:r>
              <w:rPr>
                <w:rFonts w:hint="eastAsia" w:asciiTheme="minorEastAsia" w:hAnsiTheme="minorEastAsia" w:eastAsiaTheme="minorEastAsia" w:cstheme="minorEastAsia"/>
                <w:color w:val="auto"/>
                <w:kern w:val="44"/>
                <w:sz w:val="21"/>
                <w:szCs w:val="21"/>
              </w:rPr>
              <w:t>质量手册，程序文件</w:t>
            </w:r>
            <w:r>
              <w:rPr>
                <w:rFonts w:hint="eastAsia" w:asciiTheme="minorEastAsia" w:hAnsiTheme="minorEastAsia" w:eastAsiaTheme="minorEastAsia" w:cstheme="minorEastAsia"/>
                <w:color w:val="auto"/>
                <w:kern w:val="44"/>
                <w:sz w:val="21"/>
                <w:szCs w:val="21"/>
                <w:lang w:val="en-US" w:eastAsia="zh-CN"/>
              </w:rPr>
              <w:t>等</w:t>
            </w:r>
            <w:r>
              <w:rPr>
                <w:rFonts w:hint="eastAsia" w:asciiTheme="minorEastAsia" w:hAnsiTheme="minorEastAsia" w:eastAsiaTheme="minorEastAsia" w:cstheme="minorEastAsia"/>
                <w:color w:val="auto"/>
                <w:kern w:val="44"/>
                <w:sz w:val="21"/>
                <w:szCs w:val="21"/>
              </w:rPr>
              <w:t>。</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rPr>
                <w:rFonts w:ascii="宋体" w:hAnsi="宋体"/>
                <w:color w:val="auto"/>
                <w:szCs w:val="21"/>
              </w:rPr>
            </w:pPr>
          </w:p>
          <w:p>
            <w:pPr>
              <w:spacing w:line="440" w:lineRule="exact"/>
              <w:jc w:val="center"/>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方针及目标、指标及方案</w:t>
            </w:r>
          </w:p>
          <w:p>
            <w:pPr>
              <w:spacing w:line="400" w:lineRule="exact"/>
              <w:rPr>
                <w:rFonts w:hint="eastAsia" w:asciiTheme="minorEastAsia" w:hAnsiTheme="minorEastAsia" w:eastAsiaTheme="minorEastAsia" w:cstheme="minorEastAsia"/>
                <w:color w:val="auto"/>
                <w:sz w:val="21"/>
                <w:szCs w:val="21"/>
              </w:rPr>
            </w:pPr>
          </w:p>
        </w:tc>
        <w:tc>
          <w:tcPr>
            <w:tcW w:w="960" w:type="dxa"/>
            <w:vAlign w:val="top"/>
          </w:tcPr>
          <w:p>
            <w:pPr>
              <w:adjustRightInd w:val="0"/>
              <w:snapToGrid w:val="0"/>
              <w:rPr>
                <w:rFonts w:ascii="宋体" w:hAnsi="宋体" w:cs="宋体"/>
                <w:color w:val="auto"/>
                <w:szCs w:val="21"/>
              </w:rPr>
            </w:pPr>
            <w:r>
              <w:rPr>
                <w:rFonts w:hint="eastAsia" w:ascii="宋体" w:hAnsi="宋体"/>
                <w:color w:val="auto"/>
                <w:szCs w:val="21"/>
                <w:lang w:val="en-US" w:eastAsia="zh-CN"/>
              </w:rPr>
              <w:t>Q/E/S:</w:t>
            </w:r>
            <w:r>
              <w:rPr>
                <w:rFonts w:hint="eastAsia" w:ascii="宋体" w:hAnsi="宋体" w:cs="宋体"/>
                <w:color w:val="auto"/>
                <w:szCs w:val="21"/>
                <w:lang w:val="en-US" w:eastAsia="zh-CN"/>
              </w:rPr>
              <w:t>5</w:t>
            </w: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.2</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质量/环境/安全方针为：</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公司的质量、环境、职业健康安全方针是：</w:t>
            </w:r>
          </w:p>
          <w:p>
            <w:pPr>
              <w:ind w:firstLine="420" w:firstLineChars="20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坚持产品质量第一，确保增进顾客满意；</w:t>
            </w:r>
          </w:p>
          <w:p>
            <w:pPr>
              <w:ind w:firstLine="420" w:firstLineChars="20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坚持遵守法律法规，实现环保安全目标；</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2"/>
              </w:rPr>
              <w:t>规范企业经营管理，持续改进管理体系。</w:t>
            </w:r>
          </w:p>
          <w:p>
            <w:pPr>
              <w:rPr>
                <w:rFonts w:hint="eastAsia" w:asciiTheme="minorEastAsia" w:hAnsiTheme="minorEastAsia" w:eastAsiaTheme="minorEastAsia" w:cstheme="minorEastAsia"/>
                <w:color w:val="auto"/>
                <w:sz w:val="21"/>
                <w:szCs w:val="21"/>
              </w:rPr>
            </w:pPr>
          </w:p>
          <w:p>
            <w:pPr>
              <w:widowControl/>
              <w:spacing w:line="460" w:lineRule="exact"/>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质量目标</w:t>
            </w:r>
          </w:p>
          <w:p>
            <w:pPr>
              <w:spacing w:line="460" w:lineRule="exact"/>
              <w:ind w:firstLine="525" w:firstLineChars="25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1、采购产品合格率≥95%；</w:t>
            </w:r>
          </w:p>
          <w:p>
            <w:pPr>
              <w:tabs>
                <w:tab w:val="left" w:pos="735"/>
              </w:tabs>
              <w:spacing w:line="460" w:lineRule="exact"/>
              <w:ind w:firstLine="525" w:firstLineChars="25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2、顾客满意率≥90%</w:t>
            </w:r>
          </w:p>
          <w:p>
            <w:pPr>
              <w:widowControl/>
              <w:spacing w:line="460" w:lineRule="exact"/>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环境目标</w:t>
            </w:r>
          </w:p>
          <w:p>
            <w:pPr>
              <w:widowControl/>
              <w:spacing w:line="460" w:lineRule="exact"/>
              <w:ind w:firstLine="525" w:firstLineChars="2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1、固体废弃物分类回收率100%；</w:t>
            </w:r>
          </w:p>
          <w:p>
            <w:pPr>
              <w:widowControl/>
              <w:spacing w:line="460" w:lineRule="exact"/>
              <w:ind w:firstLine="525" w:firstLineChars="2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2、杜绝火灾事故发生。</w:t>
            </w:r>
          </w:p>
          <w:p>
            <w:pPr>
              <w:widowControl/>
              <w:spacing w:line="460" w:lineRule="exact"/>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职业健康安全目标</w:t>
            </w:r>
          </w:p>
          <w:p>
            <w:pPr>
              <w:widowControl/>
              <w:spacing w:line="460" w:lineRule="exact"/>
              <w:ind w:firstLine="525" w:firstLineChars="2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kern w:val="0"/>
                <w:sz w:val="21"/>
                <w:szCs w:val="21"/>
              </w:rPr>
              <w:t>杜绝火灾事故发生</w:t>
            </w:r>
            <w:r>
              <w:rPr>
                <w:rFonts w:hint="eastAsia" w:asciiTheme="minorEastAsia" w:hAnsiTheme="minorEastAsia" w:eastAsiaTheme="minorEastAsia" w:cstheme="minorEastAsia"/>
                <w:color w:val="auto"/>
                <w:sz w:val="21"/>
                <w:szCs w:val="21"/>
              </w:rPr>
              <w:t>；</w:t>
            </w:r>
          </w:p>
          <w:p>
            <w:pPr>
              <w:spacing w:line="460" w:lineRule="exact"/>
              <w:ind w:firstLine="525" w:firstLineChars="25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2、杜绝死亡及重大安全事故发生。</w:t>
            </w:r>
          </w:p>
          <w:p>
            <w:pPr>
              <w:spacing w:line="460" w:lineRule="exact"/>
              <w:ind w:firstLine="525" w:firstLineChars="250"/>
              <w:rPr>
                <w:rFonts w:hint="eastAsia"/>
                <w:color w:val="auto"/>
              </w:rPr>
            </w:pPr>
            <w:r>
              <w:rPr>
                <w:rFonts w:hint="eastAsia" w:asciiTheme="minorEastAsia" w:hAnsiTheme="minorEastAsia" w:eastAsiaTheme="minorEastAsia" w:cstheme="minorEastAsia"/>
                <w:color w:val="auto"/>
                <w:kern w:val="0"/>
                <w:sz w:val="21"/>
                <w:szCs w:val="21"/>
              </w:rPr>
              <w:t>3、轻伤事故少于3起/年。</w:t>
            </w:r>
          </w:p>
          <w:p>
            <w:pPr>
              <w:ind w:firstLine="420" w:firstLineChars="200"/>
              <w:rPr>
                <w:rFonts w:hint="eastAsia"/>
                <w:color w:val="auto"/>
              </w:rPr>
            </w:pPr>
            <w:r>
              <w:rPr>
                <w:rFonts w:hint="eastAsia"/>
                <w:color w:val="auto"/>
              </w:rPr>
              <w:t>目标可测量，与公司管理方针一致。</w:t>
            </w:r>
          </w:p>
          <w:p>
            <w:pPr>
              <w:ind w:firstLine="420" w:firstLineChars="200"/>
              <w:rPr>
                <w:rFonts w:hint="eastAsia"/>
                <w:color w:val="auto"/>
              </w:rPr>
            </w:pPr>
            <w:r>
              <w:rPr>
                <w:rFonts w:hint="eastAsia"/>
                <w:color w:val="auto"/>
              </w:rPr>
              <w:t>每季度由总经办按公司管理目标考核要求统计考核公司管理目标完成情况，提交管理评审会议。查到2019年第</w:t>
            </w:r>
            <w:r>
              <w:rPr>
                <w:rFonts w:hint="eastAsia"/>
                <w:color w:val="auto"/>
                <w:lang w:val="en-US" w:eastAsia="zh-CN"/>
              </w:rPr>
              <w:t>四</w:t>
            </w:r>
            <w:r>
              <w:rPr>
                <w:rFonts w:hint="eastAsia"/>
                <w:color w:val="auto"/>
              </w:rPr>
              <w:t>季度公司管理目标完成情况，各项目标均已完成，考核人</w:t>
            </w:r>
            <w:r>
              <w:rPr>
                <w:rFonts w:hint="eastAsia"/>
                <w:color w:val="auto"/>
                <w:lang w:eastAsia="zh-CN"/>
              </w:rPr>
              <w:t xml:space="preserve">曹建民 </w:t>
            </w:r>
            <w:r>
              <w:rPr>
                <w:rFonts w:hint="eastAsia"/>
                <w:color w:val="auto"/>
              </w:rPr>
              <w:t>。</w:t>
            </w:r>
          </w:p>
          <w:p>
            <w:pPr>
              <w:ind w:firstLine="420" w:firstLineChars="200"/>
              <w:rPr>
                <w:rFonts w:hint="eastAsia"/>
                <w:color w:val="auto"/>
              </w:rPr>
            </w:pPr>
            <w:r>
              <w:rPr>
                <w:rFonts w:hint="eastAsia"/>
                <w:color w:val="auto"/>
              </w:rPr>
              <w:t>公司管理目标已分解到各部门，由总经办负责统计考核。</w:t>
            </w:r>
          </w:p>
          <w:p>
            <w:pPr>
              <w:ind w:firstLine="420" w:firstLineChars="200"/>
              <w:rPr>
                <w:rFonts w:hint="eastAsia" w:asciiTheme="minorEastAsia" w:hAnsiTheme="minorEastAsia" w:eastAsiaTheme="minorEastAsia" w:cstheme="minorEastAsia"/>
                <w:color w:val="auto"/>
                <w:sz w:val="21"/>
                <w:szCs w:val="21"/>
              </w:rPr>
            </w:pPr>
            <w:r>
              <w:rPr>
                <w:rFonts w:hint="eastAsia"/>
                <w:color w:val="auto"/>
              </w:rPr>
              <w:t>针对重要环境因素、重大危险源制订了管理方案并予以实施，基本有效，</w:t>
            </w:r>
            <w:r>
              <w:rPr>
                <w:rFonts w:hint="eastAsia"/>
                <w:color w:val="auto"/>
                <w:lang w:val="en-US" w:eastAsia="zh-CN"/>
              </w:rPr>
              <w:t>同时见《2019年第4季度环境/职业健康安全目标完成情况考核记录》</w:t>
            </w:r>
            <w:r>
              <w:rPr>
                <w:rFonts w:hint="eastAsia"/>
                <w:color w:val="auto"/>
                <w:lang w:eastAsia="zh-CN"/>
              </w:rPr>
              <w:t>，二阶段详查。</w:t>
            </w:r>
          </w:p>
        </w:tc>
        <w:tc>
          <w:tcPr>
            <w:tcW w:w="628" w:type="dxa"/>
            <w:vAlign w:val="top"/>
          </w:tcPr>
          <w:p>
            <w:pPr>
              <w:spacing w:line="44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符合</w:t>
            </w: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160"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内部审核：</w:t>
            </w:r>
          </w:p>
        </w:tc>
        <w:tc>
          <w:tcPr>
            <w:tcW w:w="960" w:type="dxa"/>
            <w:vAlign w:val="top"/>
          </w:tcPr>
          <w:p>
            <w:pPr>
              <w:adjustRightInd w:val="0"/>
              <w:snapToGrid w:val="0"/>
              <w:rPr>
                <w:rFonts w:hint="default" w:ascii="宋体" w:hAnsi="宋体" w:cs="宋体"/>
                <w:color w:val="auto"/>
                <w:szCs w:val="21"/>
                <w:lang w:val="en-US"/>
              </w:rPr>
            </w:pPr>
            <w:r>
              <w:rPr>
                <w:rFonts w:hint="eastAsia" w:ascii="宋体" w:hAnsi="宋体"/>
                <w:color w:val="auto"/>
                <w:szCs w:val="21"/>
                <w:lang w:val="en-US" w:eastAsia="zh-CN"/>
              </w:rPr>
              <w:t>Q/E/S:</w:t>
            </w:r>
            <w:r>
              <w:rPr>
                <w:rFonts w:hint="eastAsia" w:ascii="宋体" w:hAnsi="宋体" w:cs="宋体"/>
                <w:color w:val="auto"/>
                <w:szCs w:val="21"/>
                <w:lang w:val="en-US" w:eastAsia="zh-CN"/>
              </w:rPr>
              <w:t>9.2</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》，查最近一次</w:t>
            </w:r>
            <w:r>
              <w:rPr>
                <w:rFonts w:hint="eastAsia" w:asciiTheme="minorEastAsia" w:hAnsiTheme="minorEastAsia" w:eastAsiaTheme="minorEastAsia" w:cstheme="minorEastAsia"/>
                <w:color w:val="auto"/>
                <w:kern w:val="0"/>
                <w:sz w:val="21"/>
                <w:szCs w:val="21"/>
              </w:rPr>
              <w:t>《内审计划》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：2020年</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月15-16日</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审核组长： 冯静</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组员：郭义彪，参加过内审员培训，有《培训记录》；有首末次会议《签到表》；</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覆盖全部门，共发现不符合项1项，采购部，为一般不符合，</w:t>
            </w:r>
            <w:r>
              <w:rPr>
                <w:rFonts w:hint="eastAsia" w:asciiTheme="minorEastAsia" w:hAnsiTheme="minorEastAsia" w:eastAsiaTheme="minorEastAsia" w:cstheme="minorEastAsia"/>
                <w:color w:val="auto"/>
                <w:kern w:val="0"/>
                <w:sz w:val="21"/>
                <w:szCs w:val="21"/>
              </w:rPr>
              <w:t>质量、环境管理体系适用的法律法规中《中华人民共和国质量、环境保护法》不是最新版本</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已经纠正。</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0" w:type="dxa"/>
            <w:vAlign w:val="top"/>
          </w:tcPr>
          <w:p>
            <w:pPr>
              <w:spacing w:line="400" w:lineRule="exact"/>
              <w:rPr>
                <w:rFonts w:ascii="宋体" w:hAnsi="宋体"/>
                <w:color w:val="auto"/>
                <w:szCs w:val="21"/>
              </w:rPr>
            </w:pPr>
            <w:r>
              <w:rPr>
                <w:rFonts w:hint="eastAsia" w:ascii="宋体" w:hAnsi="宋体"/>
                <w:color w:val="auto"/>
                <w:szCs w:val="21"/>
              </w:rPr>
              <w:t>管理评审：</w:t>
            </w:r>
          </w:p>
          <w:p>
            <w:pPr>
              <w:spacing w:line="400" w:lineRule="exact"/>
              <w:rPr>
                <w:rFonts w:ascii="宋体" w:hAnsi="宋体"/>
                <w:color w:val="auto"/>
                <w:szCs w:val="21"/>
              </w:rPr>
            </w:pPr>
          </w:p>
          <w:p>
            <w:pPr>
              <w:spacing w:line="400" w:lineRule="exact"/>
              <w:rPr>
                <w:rFonts w:hint="eastAsia" w:asciiTheme="minorEastAsia" w:hAnsiTheme="minorEastAsia" w:eastAsiaTheme="minorEastAsia" w:cstheme="minorEastAsia"/>
                <w:color w:val="auto"/>
                <w:sz w:val="21"/>
                <w:szCs w:val="21"/>
              </w:rPr>
            </w:pPr>
          </w:p>
        </w:tc>
        <w:tc>
          <w:tcPr>
            <w:tcW w:w="960" w:type="dxa"/>
            <w:vAlign w:val="top"/>
          </w:tcPr>
          <w:p>
            <w:pPr>
              <w:adjustRightInd w:val="0"/>
              <w:snapToGrid w:val="0"/>
              <w:rPr>
                <w:rFonts w:hint="default" w:ascii="宋体" w:hAnsi="宋体" w:cs="宋体"/>
                <w:color w:val="auto"/>
                <w:szCs w:val="21"/>
                <w:lang w:val="en-US"/>
              </w:rPr>
            </w:pPr>
            <w:r>
              <w:rPr>
                <w:rFonts w:hint="eastAsia" w:ascii="宋体" w:hAnsi="宋体"/>
                <w:color w:val="auto"/>
                <w:szCs w:val="21"/>
                <w:lang w:val="en-US" w:eastAsia="zh-CN"/>
              </w:rPr>
              <w:t>Q/E/S:</w:t>
            </w:r>
            <w:r>
              <w:rPr>
                <w:rFonts w:hint="eastAsia" w:ascii="宋体" w:hAnsi="宋体" w:cs="宋体"/>
                <w:color w:val="auto"/>
                <w:szCs w:val="21"/>
                <w:lang w:val="en-US" w:eastAsia="zh-CN"/>
              </w:rPr>
              <w:t>9.3</w:t>
            </w:r>
          </w:p>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3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查见《管理评审计划》、《管理评审会议记录》</w:t>
            </w:r>
          </w:p>
          <w:p>
            <w:pPr>
              <w:spacing w:line="3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管理评审于</w:t>
            </w:r>
            <w:r>
              <w:rPr>
                <w:rFonts w:hint="eastAsia" w:asciiTheme="minorEastAsia" w:hAnsiTheme="minorEastAsia" w:eastAsiaTheme="minorEastAsia" w:cstheme="minorEastAsia"/>
                <w:b/>
                <w:bCs/>
                <w:color w:val="auto"/>
                <w:sz w:val="21"/>
                <w:szCs w:val="21"/>
              </w:rPr>
              <w:t>20</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 xml:space="preserve">年 </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eastAsiaTheme="minorEastAsia" w:cstheme="minorEastAsia"/>
                <w:color w:val="auto"/>
                <w:sz w:val="21"/>
                <w:szCs w:val="21"/>
              </w:rPr>
              <w:t>由</w:t>
            </w:r>
            <w:r>
              <w:rPr>
                <w:rFonts w:hint="eastAsia" w:asciiTheme="minorEastAsia" w:hAnsiTheme="minorEastAsia" w:eastAsiaTheme="minorEastAsia" w:cstheme="minorEastAsia"/>
                <w:color w:val="auto"/>
                <w:sz w:val="21"/>
                <w:szCs w:val="21"/>
                <w:lang w:val="en-US" w:eastAsia="zh-CN"/>
              </w:rPr>
              <w:t>总经理</w:t>
            </w:r>
            <w:r>
              <w:rPr>
                <w:rFonts w:hint="eastAsia" w:asciiTheme="minorEastAsia" w:hAnsiTheme="minorEastAsia" w:eastAsiaTheme="minorEastAsia" w:cstheme="minorEastAsia"/>
                <w:color w:val="auto"/>
                <w:sz w:val="21"/>
                <w:szCs w:val="21"/>
              </w:rPr>
              <w:t>主持完成。</w:t>
            </w:r>
          </w:p>
          <w:p>
            <w:pPr>
              <w:adjustRightInd w:val="0"/>
              <w:spacing w:line="400" w:lineRule="exact"/>
              <w:textAlignment w:val="baseline"/>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提供主要输入材料有：各部门总结，输入信息基本充分和满足要求。</w:t>
            </w:r>
          </w:p>
          <w:p>
            <w:pPr>
              <w:adjustRightInd w:val="0"/>
              <w:spacing w:line="400" w:lineRule="exac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输出见“管理评审报告”, 做出了管理体系基本适宜、充分和有效的评审结论。</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相关法规</w:t>
            </w:r>
          </w:p>
          <w:p>
            <w:pPr>
              <w:spacing w:line="400" w:lineRule="exact"/>
              <w:rPr>
                <w:rFonts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环评报告及环评验收</w:t>
            </w:r>
          </w:p>
          <w:p>
            <w:pPr>
              <w:spacing w:line="400" w:lineRule="exact"/>
              <w:rPr>
                <w:color w:val="auto"/>
                <w:szCs w:val="21"/>
                <w:highlight w:val="none"/>
              </w:rPr>
            </w:pPr>
            <w:r>
              <w:rPr>
                <w:rFonts w:hint="eastAsia"/>
                <w:color w:val="auto"/>
                <w:szCs w:val="21"/>
                <w:highlight w:val="none"/>
              </w:rPr>
              <w:t>安评报告及安评验收</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执行的产品标准（QMS）</w:t>
            </w:r>
          </w:p>
          <w:p>
            <w:pPr>
              <w:spacing w:line="400" w:lineRule="exact"/>
              <w:rPr>
                <w:rFonts w:hint="eastAsia"/>
                <w:color w:val="auto"/>
                <w:szCs w:val="21"/>
                <w:highlight w:val="none"/>
              </w:rPr>
            </w:pPr>
            <w:r>
              <w:rPr>
                <w:rFonts w:hint="eastAsia"/>
                <w:color w:val="auto"/>
                <w:szCs w:val="21"/>
                <w:highlight w:val="none"/>
              </w:rPr>
              <w:t>执行的排污标准（EMS）</w:t>
            </w:r>
          </w:p>
          <w:p>
            <w:pPr>
              <w:spacing w:line="400" w:lineRule="exact"/>
              <w:rPr>
                <w:color w:val="auto"/>
                <w:szCs w:val="21"/>
                <w:highlight w:val="none"/>
              </w:rPr>
            </w:pPr>
            <w:r>
              <w:rPr>
                <w:rFonts w:hint="eastAsia"/>
                <w:color w:val="auto"/>
                <w:szCs w:val="21"/>
                <w:highlight w:val="none"/>
              </w:rPr>
              <w:t>执行的安全法规（OHSMS）</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 xml:space="preserve">合规性评价报告 </w:t>
            </w:r>
          </w:p>
          <w:p>
            <w:pPr>
              <w:spacing w:line="400" w:lineRule="exact"/>
              <w:rPr>
                <w:rFonts w:hint="eastAsia"/>
                <w:color w:val="auto"/>
                <w:szCs w:val="21"/>
                <w:highlight w:val="none"/>
              </w:rPr>
            </w:pPr>
            <w:r>
              <w:rPr>
                <w:rFonts w:hint="eastAsia"/>
                <w:color w:val="auto"/>
                <w:szCs w:val="21"/>
                <w:highlight w:val="none"/>
              </w:rPr>
              <w:t>环境相关监测报告（EMS）</w:t>
            </w:r>
          </w:p>
          <w:p>
            <w:pPr>
              <w:spacing w:line="400" w:lineRule="exact"/>
              <w:rPr>
                <w:rFonts w:hint="eastAsia"/>
                <w:color w:val="auto"/>
                <w:szCs w:val="21"/>
                <w:highlight w:val="none"/>
              </w:rPr>
            </w:pPr>
            <w:r>
              <w:rPr>
                <w:rFonts w:hint="eastAsia"/>
                <w:color w:val="auto"/>
                <w:szCs w:val="21"/>
                <w:highlight w:val="none"/>
              </w:rPr>
              <w:t>职业健康相关监测报告（OHSMS）</w:t>
            </w: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产品质量监督抽查情况（QMS）</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中华人民共和国合同法、中华人民共和国劳动法、中华人民共和国安全消防法、中华人民共和国产品质量法、中华人民共和国安全生产法</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环境保护条例、</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消防条例、</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安全生产条例、</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重大危险源监督管理规定、</w:t>
            </w:r>
            <w:r>
              <w:rPr>
                <w:rFonts w:hint="eastAsia" w:asciiTheme="minorEastAsia" w:hAnsiTheme="minorEastAsia" w:eastAsiaTheme="minorEastAsia" w:cstheme="minorEastAsia"/>
                <w:color w:val="auto"/>
                <w:sz w:val="21"/>
                <w:szCs w:val="21"/>
                <w:lang w:eastAsia="zh-CN"/>
              </w:rPr>
              <w:t>河北省</w:t>
            </w:r>
            <w:r>
              <w:rPr>
                <w:rFonts w:hint="eastAsia" w:asciiTheme="minorEastAsia" w:hAnsiTheme="minorEastAsia" w:eastAsiaTheme="minorEastAsia" w:cstheme="minorEastAsia"/>
                <w:color w:val="auto"/>
                <w:sz w:val="21"/>
                <w:szCs w:val="21"/>
              </w:rPr>
              <w:t>工伤保险实施办法等</w:t>
            </w:r>
          </w:p>
          <w:p>
            <w:pPr>
              <w:spacing w:line="400" w:lineRule="exact"/>
              <w:rPr>
                <w:rFonts w:hint="eastAsia" w:asciiTheme="minorEastAsia" w:hAnsiTheme="minorEastAsia" w:eastAsiaTheme="minorEastAsia" w:cstheme="minorEastAsia"/>
                <w:color w:val="auto"/>
                <w:sz w:val="21"/>
                <w:szCs w:val="21"/>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不适用</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不适用</w:t>
            </w:r>
          </w:p>
          <w:p>
            <w:pPr>
              <w:spacing w:line="400" w:lineRule="exact"/>
              <w:rPr>
                <w:rFonts w:hint="eastAsia" w:asciiTheme="minorEastAsia" w:hAnsiTheme="minorEastAsia" w:eastAsiaTheme="minorEastAsia" w:cstheme="minorEastAsia"/>
                <w:color w:val="auto"/>
                <w:sz w:val="21"/>
                <w:szCs w:val="21"/>
              </w:rPr>
            </w:pPr>
          </w:p>
          <w:p>
            <w:pPr>
              <w:pStyle w:val="2"/>
              <w:rPr>
                <w:rFonts w:hint="eastAsia" w:ascii="宋体" w:hAnsi="宋体" w:cs="宋体"/>
                <w:color w:val="auto"/>
                <w:sz w:val="21"/>
                <w:szCs w:val="21"/>
                <w:lang w:val="en-US" w:eastAsia="zh-CN"/>
              </w:rPr>
            </w:pPr>
            <w:r>
              <w:rPr>
                <w:rFonts w:hint="eastAsia" w:asciiTheme="minorEastAsia" w:hAnsiTheme="minorEastAsia" w:eastAsiaTheme="minorEastAsia" w:cstheme="minorEastAsia"/>
                <w:color w:val="auto"/>
                <w:sz w:val="21"/>
                <w:szCs w:val="21"/>
                <w:highlight w:val="none"/>
              </w:rPr>
              <w:t>产品执行标准:</w:t>
            </w:r>
            <w:r>
              <w:rPr>
                <w:rFonts w:hint="eastAsia" w:ascii="宋体" w:hAnsi="宋体" w:cs="宋体"/>
                <w:color w:val="auto"/>
                <w:sz w:val="21"/>
                <w:szCs w:val="21"/>
                <w:lang w:val="en-US" w:eastAsia="zh-CN"/>
              </w:rPr>
              <w:t xml:space="preserve">GB 29047-2012 高密度聚乙烯外护管硬质聚氨酯泡沫塑料预制直埋保温管及管件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GB/T18742.3-2002 冷热水用聚丙烯管道系统管件</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13663-2000 给水用聚乙烯（PE）管材</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CJ/T155-2001高密度聚乙烯外护管聚氨酯硬质泡沫塑料预制直埋保温管件</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w:t>
            </w:r>
          </w:p>
          <w:p>
            <w:pPr>
              <w:widowControl/>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污水排入城镇下水道水质标准（GB/T 31962-2015）、大气污染物综合排放标准（GB 16297-1996）</w:t>
            </w:r>
            <w:r>
              <w:rPr>
                <w:rFonts w:hint="eastAsia" w:asciiTheme="minorEastAsia" w:hAnsiTheme="minorEastAsia" w:eastAsiaTheme="minorEastAsia" w:cstheme="minorEastAsia"/>
                <w:color w:val="auto"/>
                <w:sz w:val="21"/>
                <w:szCs w:val="21"/>
                <w:highlight w:val="none"/>
                <w:lang w:val="en-US" w:eastAsia="zh-CN"/>
              </w:rPr>
              <w:t>等。</w:t>
            </w:r>
          </w:p>
          <w:p>
            <w:pPr>
              <w:spacing w:line="400" w:lineRule="exact"/>
              <w:rPr>
                <w:rFonts w:hint="eastAsia" w:ascii="宋体" w:hAnsi="宋体" w:cs="宋体"/>
                <w:color w:val="auto"/>
                <w:szCs w:val="21"/>
                <w:highlight w:val="none"/>
              </w:rPr>
            </w:pPr>
            <w:r>
              <w:rPr>
                <w:rFonts w:hint="eastAsia" w:ascii="宋体" w:hAnsi="宋体"/>
                <w:color w:val="auto"/>
                <w:szCs w:val="21"/>
                <w:highlight w:val="none"/>
              </w:rPr>
              <w:t>中华人民共和国安全消防法、中华人民共和国劳动合同法、</w:t>
            </w:r>
            <w:r>
              <w:rPr>
                <w:rFonts w:hint="eastAsia" w:ascii="宋体" w:hAnsi="宋体" w:cs="宋体"/>
                <w:color w:val="auto"/>
                <w:szCs w:val="21"/>
                <w:highlight w:val="none"/>
              </w:rPr>
              <w:t>中华人民共和国安全生产法等</w:t>
            </w:r>
          </w:p>
          <w:p>
            <w:pPr>
              <w:spacing w:line="400" w:lineRule="exact"/>
              <w:rPr>
                <w:rFonts w:hint="eastAsia" w:ascii="宋体" w:hAnsi="宋体" w:cs="宋体"/>
                <w:color w:val="auto"/>
                <w:szCs w:val="21"/>
                <w:highlight w:val="none"/>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日进行了合规性评价</w:t>
            </w:r>
          </w:p>
          <w:p>
            <w:pPr>
              <w:spacing w:line="400" w:lineRule="exact"/>
              <w:rPr>
                <w:rFonts w:hint="eastAsia" w:asciiTheme="minorEastAsia" w:hAnsiTheme="minorEastAsia" w:eastAsiaTheme="minorEastAsia" w:cstheme="minorEastAsia"/>
                <w:color w:val="auto"/>
                <w:sz w:val="21"/>
                <w:szCs w:val="21"/>
              </w:rPr>
            </w:pPr>
          </w:p>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不适用</w:t>
            </w:r>
          </w:p>
          <w:p>
            <w:pPr>
              <w:spacing w:line="400" w:lineRule="exact"/>
              <w:rPr>
                <w:rFonts w:hint="eastAsia" w:asciiTheme="minorEastAsia" w:hAnsiTheme="minorEastAsia" w:eastAsiaTheme="minorEastAsia" w:cstheme="minorEastAsia"/>
                <w:color w:val="auto"/>
                <w:sz w:val="21"/>
                <w:szCs w:val="21"/>
                <w:lang w:val="en-US" w:eastAsia="zh-CN"/>
              </w:rPr>
            </w:pPr>
          </w:p>
          <w:p>
            <w:pPr>
              <w:spacing w:line="40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员工体检等</w:t>
            </w:r>
          </w:p>
          <w:p>
            <w:pPr>
              <w:spacing w:line="400" w:lineRule="exact"/>
              <w:rPr>
                <w:rFonts w:hint="eastAsia" w:asciiTheme="minorEastAsia" w:hAnsiTheme="minorEastAsia" w:eastAsiaTheme="minorEastAsia" w:cstheme="minorEastAsia"/>
                <w:color w:val="auto"/>
                <w:sz w:val="21"/>
                <w:szCs w:val="21"/>
                <w:lang w:val="en-US" w:eastAsia="zh-CN"/>
              </w:rPr>
            </w:pP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无</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工艺流程</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不适用条款的确认</w:t>
            </w:r>
          </w:p>
          <w:p>
            <w:pPr>
              <w:pStyle w:val="2"/>
              <w:rPr>
                <w:rFonts w:hint="eastAsia"/>
              </w:rPr>
            </w:pPr>
          </w:p>
          <w:p>
            <w:pPr>
              <w:spacing w:line="400" w:lineRule="exact"/>
              <w:rPr>
                <w:rFonts w:hint="eastAsia" w:ascii="宋体" w:hAnsi="宋体"/>
                <w:color w:val="auto"/>
                <w:szCs w:val="21"/>
                <w:highlight w:val="none"/>
              </w:rPr>
            </w:pPr>
            <w:r>
              <w:rPr>
                <w:rFonts w:hint="eastAsia" w:ascii="宋体" w:hAnsi="宋体"/>
                <w:color w:val="auto"/>
                <w:szCs w:val="21"/>
                <w:highlight w:val="none"/>
              </w:rPr>
              <w:t>外包的识别</w:t>
            </w:r>
          </w:p>
          <w:p>
            <w:pPr>
              <w:pStyle w:val="2"/>
            </w:pPr>
          </w:p>
          <w:p>
            <w:pPr>
              <w:spacing w:line="400" w:lineRule="exact"/>
              <w:rPr>
                <w:rFonts w:hint="eastAsia" w:ascii="宋体" w:hAnsi="宋体"/>
                <w:color w:val="auto"/>
                <w:szCs w:val="21"/>
                <w:highlight w:val="none"/>
              </w:rPr>
            </w:pPr>
            <w:r>
              <w:rPr>
                <w:rFonts w:hint="eastAsia" w:ascii="宋体" w:hAnsi="宋体"/>
                <w:color w:val="auto"/>
                <w:szCs w:val="21"/>
                <w:highlight w:val="none"/>
              </w:rPr>
              <w:t>重要环境因素（EMS）</w:t>
            </w:r>
          </w:p>
          <w:p>
            <w:pPr>
              <w:spacing w:line="400" w:lineRule="exact"/>
              <w:rPr>
                <w:rFonts w:hint="eastAsia"/>
                <w:color w:val="auto"/>
                <w:szCs w:val="21"/>
                <w:highlight w:val="none"/>
                <w:lang w:eastAsia="zh-CN"/>
              </w:rPr>
            </w:pPr>
            <w:r>
              <w:rPr>
                <w:rFonts w:hint="eastAsia"/>
                <w:color w:val="auto"/>
                <w:szCs w:val="21"/>
                <w:highlight w:val="none"/>
              </w:rPr>
              <w:t>不可接受风险（OHSMS</w:t>
            </w:r>
            <w:r>
              <w:rPr>
                <w:rFonts w:hint="eastAsia"/>
                <w:color w:val="auto"/>
                <w:szCs w:val="21"/>
                <w:highlight w:val="none"/>
                <w:lang w:eastAsia="zh-CN"/>
              </w:rPr>
              <w:t>）</w:t>
            </w:r>
          </w:p>
          <w:p>
            <w:pPr>
              <w:spacing w:line="400" w:lineRule="exact"/>
              <w:rPr>
                <w:rFonts w:hint="eastAsia"/>
                <w:color w:val="auto"/>
                <w:szCs w:val="21"/>
                <w:highlight w:val="none"/>
                <w:lang w:eastAsia="zh-CN"/>
              </w:rPr>
            </w:pP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lang w:eastAsia="zh-CN"/>
              </w:rPr>
              <w:t>应急管理</w:t>
            </w:r>
          </w:p>
        </w:tc>
        <w:tc>
          <w:tcPr>
            <w:tcW w:w="960" w:type="dxa"/>
            <w:vAlign w:val="top"/>
          </w:tcPr>
          <w:p>
            <w:pPr>
              <w:adjustRightInd w:val="0"/>
              <w:snapToGrid w:val="0"/>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销售流程图</w:t>
            </w:r>
          </w:p>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确定顾客群体------商务洽谈------签订合同-----采购产品---产品交付---售后服务</w:t>
            </w:r>
          </w:p>
          <w:p>
            <w:pPr>
              <w:pStyle w:val="2"/>
              <w:rPr>
                <w:rFonts w:hint="eastAsia" w:ascii="宋体" w:hAnsi="宋体"/>
                <w:color w:val="auto"/>
                <w:szCs w:val="21"/>
                <w:highlight w:val="none"/>
              </w:rPr>
            </w:pPr>
            <w:r>
              <w:rPr>
                <w:rFonts w:hint="eastAsia" w:asciiTheme="minorEastAsia" w:hAnsiTheme="minorEastAsia" w:eastAsiaTheme="minorEastAsia" w:cstheme="minorEastAsia"/>
                <w:color w:val="auto"/>
                <w:sz w:val="21"/>
                <w:szCs w:val="21"/>
                <w:lang w:val="en-US" w:eastAsia="zh-CN"/>
              </w:rPr>
              <w:t>特殊过程：销售服务，  有服务过程确认。</w:t>
            </w:r>
          </w:p>
          <w:p>
            <w:pPr>
              <w:adjustRightInd w:val="0"/>
              <w:spacing w:line="300" w:lineRule="auto"/>
              <w:textAlignment w:val="baseline"/>
              <w:rPr>
                <w:rFonts w:hint="eastAsia"/>
                <w:color w:val="auto"/>
                <w:sz w:val="21"/>
                <w:szCs w:val="21"/>
              </w:rPr>
            </w:pPr>
            <w:r>
              <w:rPr>
                <w:rFonts w:hint="eastAsia" w:ascii="宋体" w:hAnsi="宋体"/>
                <w:color w:val="auto"/>
                <w:szCs w:val="21"/>
                <w:highlight w:val="none"/>
                <w:lang w:val="en-US" w:eastAsia="zh-CN"/>
              </w:rPr>
              <w:t>Q8.3条款，理由：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p>
            <w:pPr>
              <w:adjustRightInd w:val="0"/>
              <w:spacing w:line="300" w:lineRule="auto"/>
              <w:textAlignment w:val="baseline"/>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货物运输外包，已见运输协议。</w:t>
            </w:r>
          </w:p>
          <w:p>
            <w:pPr>
              <w:adjustRightInd w:val="0"/>
              <w:spacing w:line="300" w:lineRule="auto"/>
              <w:textAlignment w:val="baseline"/>
              <w:rPr>
                <w:rFonts w:hint="eastAsia" w:ascii="宋体" w:hAnsi="宋体"/>
                <w:color w:val="auto"/>
                <w:szCs w:val="21"/>
                <w:highlight w:val="none"/>
                <w:lang w:val="en-US" w:eastAsia="zh-CN"/>
              </w:rPr>
            </w:pPr>
            <w:r>
              <w:rPr>
                <w:rFonts w:hint="eastAsia" w:ascii="宋体" w:hAnsi="宋体"/>
                <w:color w:val="auto"/>
                <w:szCs w:val="21"/>
                <w:highlight w:val="none"/>
              </w:rPr>
              <w:t>潜在</w:t>
            </w:r>
            <w:r>
              <w:rPr>
                <w:rFonts w:hint="eastAsia" w:ascii="宋体" w:hAnsi="宋体"/>
                <w:color w:val="auto"/>
                <w:szCs w:val="21"/>
                <w:highlight w:val="none"/>
                <w:lang w:val="en-US" w:eastAsia="zh-CN"/>
              </w:rPr>
              <w:t>火灾。</w:t>
            </w:r>
          </w:p>
          <w:p>
            <w:pPr>
              <w:adjustRightInd w:val="0"/>
              <w:spacing w:line="300" w:lineRule="auto"/>
              <w:textAlignment w:val="baseline"/>
              <w:rPr>
                <w:rFonts w:hint="eastAsia" w:ascii="宋体" w:hAnsi="宋体" w:cs="Times New Roman"/>
                <w:color w:val="auto"/>
                <w:szCs w:val="21"/>
                <w:highlight w:val="none"/>
              </w:rPr>
            </w:pPr>
            <w:r>
              <w:rPr>
                <w:rFonts w:hint="eastAsia" w:ascii="宋体" w:hAnsi="宋体"/>
                <w:color w:val="auto"/>
                <w:szCs w:val="21"/>
                <w:highlight w:val="none"/>
                <w:lang w:val="en-US" w:eastAsia="zh-CN"/>
              </w:rPr>
              <w:t>火灾、触电、交</w:t>
            </w:r>
            <w:r>
              <w:rPr>
                <w:rFonts w:hint="eastAsia" w:ascii="宋体"/>
                <w:color w:val="auto"/>
                <w:sz w:val="20"/>
                <w:szCs w:val="20"/>
                <w:lang w:val="en-US" w:eastAsia="zh-CN"/>
              </w:rPr>
              <w:t>通事</w:t>
            </w:r>
            <w:r>
              <w:rPr>
                <w:rFonts w:hint="eastAsia" w:ascii="宋体" w:hAnsi="宋体"/>
                <w:color w:val="auto"/>
                <w:szCs w:val="21"/>
                <w:highlight w:val="none"/>
                <w:lang w:val="en-US" w:eastAsia="zh-CN"/>
              </w:rPr>
              <w:t>故。</w:t>
            </w:r>
          </w:p>
          <w:p>
            <w:pPr>
              <w:adjustRightInd w:val="0"/>
              <w:spacing w:line="300" w:lineRule="auto"/>
              <w:textAlignment w:val="baseline"/>
              <w:rPr>
                <w:rFonts w:hint="eastAsia" w:ascii="宋体" w:hAnsi="宋体" w:cs="Times New Roman"/>
                <w:color w:val="auto"/>
                <w:szCs w:val="21"/>
                <w:highlight w:val="none"/>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》、《疫情防控预案》</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r>
              <w:rPr>
                <w:rFonts w:hint="eastAsia" w:asciiTheme="minorEastAsia" w:hAnsiTheme="minorEastAsia" w:eastAsiaTheme="minorEastAsia" w:cstheme="minorEastAsia"/>
                <w:color w:val="auto"/>
                <w:sz w:val="21"/>
                <w:szCs w:val="21"/>
              </w:rPr>
              <w:t>《消防应急演练》；于20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参加；有《演练记录》总结</w:t>
            </w:r>
            <w:r>
              <w:rPr>
                <w:rFonts w:hint="eastAsia" w:asciiTheme="minorEastAsia" w:hAnsiTheme="minorEastAsia" w:eastAsiaTheme="minorEastAsia" w:cstheme="minorEastAsia"/>
                <w:color w:val="auto"/>
                <w:sz w:val="21"/>
                <w:szCs w:val="21"/>
                <w:lang w:eastAsia="zh-CN"/>
              </w:rPr>
              <w:t>，</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预案基本合理，不需要修订。</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设计开发产品或项目名称</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highlight w:val="none"/>
              </w:rPr>
              <w:t>主要原材料</w:t>
            </w:r>
          </w:p>
        </w:tc>
        <w:tc>
          <w:tcPr>
            <w:tcW w:w="960" w:type="dxa"/>
            <w:vAlign w:val="top"/>
          </w:tcPr>
          <w:p>
            <w:pPr>
              <w:spacing w:line="440" w:lineRule="exact"/>
              <w:jc w:val="left"/>
              <w:rPr>
                <w:rFonts w:hint="eastAsia" w:asciiTheme="minorEastAsia" w:hAnsiTheme="minorEastAsia" w:eastAsiaTheme="minorEastAsia" w:cstheme="minorEastAsia"/>
                <w:color w:val="auto"/>
                <w:sz w:val="21"/>
                <w:szCs w:val="21"/>
              </w:rPr>
            </w:pPr>
            <w:r>
              <w:rPr>
                <w:rFonts w:hint="eastAsia" w:ascii="宋体" w:hAnsi="宋体"/>
                <w:color w:val="auto"/>
                <w:szCs w:val="21"/>
                <w:lang w:val="en-US" w:eastAsia="zh-CN"/>
              </w:rPr>
              <w:t>Q8.3</w:t>
            </w:r>
          </w:p>
        </w:tc>
        <w:tc>
          <w:tcPr>
            <w:tcW w:w="10961" w:type="dxa"/>
            <w:vAlign w:val="top"/>
          </w:tcPr>
          <w:p>
            <w:pPr>
              <w:spacing w:line="400" w:lineRule="exact"/>
              <w:rPr>
                <w:rFonts w:hint="eastAsia"/>
                <w:color w:val="auto"/>
                <w:highlight w:val="none"/>
                <w:lang w:eastAsia="zh-CN"/>
              </w:rPr>
            </w:pPr>
            <w:r>
              <w:rPr>
                <w:rFonts w:hint="eastAsia"/>
                <w:color w:val="auto"/>
                <w:highlight w:val="none"/>
                <w:lang w:eastAsia="zh-CN"/>
              </w:rPr>
              <w:t>无</w:t>
            </w:r>
          </w:p>
          <w:p>
            <w:pPr>
              <w:spacing w:line="400" w:lineRule="exact"/>
              <w:rPr>
                <w:rFonts w:hint="eastAsia"/>
                <w:color w:val="auto"/>
                <w:highlight w:val="none"/>
                <w:lang w:eastAsia="zh-CN"/>
              </w:rPr>
            </w:pP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highlight w:val="none"/>
                <w:lang w:eastAsia="zh-CN"/>
              </w:rPr>
              <w:t>办公及劳保用品</w:t>
            </w:r>
            <w:r>
              <w:rPr>
                <w:rFonts w:hint="eastAsia" w:ascii="宋体" w:hAnsi="宋体"/>
                <w:color w:val="auto"/>
                <w:szCs w:val="21"/>
                <w:highlight w:val="none"/>
              </w:rPr>
              <w:t>等</w:t>
            </w:r>
            <w:r>
              <w:rPr>
                <w:rFonts w:hint="eastAsia"/>
                <w:color w:val="auto"/>
                <w:szCs w:val="22"/>
                <w:highlight w:val="none"/>
                <w:lang w:val="en-US" w:eastAsia="zh-CN"/>
              </w:rPr>
              <w:t>。</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关键岗位持证上岗人员</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highlight w:val="none"/>
              </w:rPr>
              <w:t>特殊工种人员</w:t>
            </w:r>
          </w:p>
        </w:tc>
        <w:tc>
          <w:tcPr>
            <w:tcW w:w="960" w:type="dxa"/>
            <w:vAlign w:val="top"/>
          </w:tcPr>
          <w:p>
            <w:pPr>
              <w:spacing w:line="440" w:lineRule="exact"/>
              <w:jc w:val="left"/>
              <w:rPr>
                <w:rFonts w:hint="eastAsia" w:asciiTheme="minorEastAsia" w:hAnsiTheme="minorEastAsia" w:eastAsiaTheme="minorEastAsia" w:cstheme="minorEastAsia"/>
                <w:color w:val="auto"/>
                <w:sz w:val="21"/>
                <w:szCs w:val="21"/>
              </w:rPr>
            </w:pPr>
            <w:r>
              <w:rPr>
                <w:rFonts w:hint="eastAsia" w:ascii="宋体" w:hAnsi="宋体"/>
                <w:color w:val="auto"/>
                <w:szCs w:val="21"/>
                <w:lang w:val="en-US" w:eastAsia="zh-CN"/>
              </w:rPr>
              <w:t>Q/E/S:7.2</w:t>
            </w:r>
          </w:p>
        </w:tc>
        <w:tc>
          <w:tcPr>
            <w:tcW w:w="10961" w:type="dxa"/>
            <w:vAlign w:val="top"/>
          </w:tcPr>
          <w:p>
            <w:pPr>
              <w:spacing w:line="400" w:lineRule="exact"/>
              <w:rPr>
                <w:rFonts w:hint="eastAsia" w:ascii="宋体" w:hAnsi="宋体" w:eastAsia="宋体"/>
                <w:color w:val="auto"/>
                <w:szCs w:val="21"/>
                <w:highlight w:val="none"/>
                <w:lang w:eastAsia="zh-CN"/>
              </w:rPr>
            </w:pPr>
            <w:r>
              <w:rPr>
                <w:rFonts w:hint="eastAsia" w:ascii="宋体" w:hAnsi="宋体"/>
                <w:color w:val="auto"/>
                <w:szCs w:val="21"/>
                <w:lang w:eastAsia="zh-CN"/>
              </w:rPr>
              <w:t>销售人员</w:t>
            </w:r>
            <w:r>
              <w:rPr>
                <w:rFonts w:hint="eastAsia" w:ascii="宋体" w:hAnsi="宋体"/>
                <w:color w:val="auto"/>
                <w:szCs w:val="21"/>
                <w:highlight w:val="none"/>
                <w:lang w:eastAsia="zh-CN"/>
              </w:rPr>
              <w:t>。</w:t>
            </w:r>
          </w:p>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lang w:eastAsia="zh-CN"/>
              </w:rPr>
              <w:t>无</w:t>
            </w:r>
          </w:p>
        </w:tc>
        <w:tc>
          <w:tcPr>
            <w:tcW w:w="628" w:type="dxa"/>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0"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主要生产设备</w:t>
            </w: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库房</w:t>
            </w:r>
          </w:p>
          <w:p>
            <w:pPr>
              <w:spacing w:line="400" w:lineRule="exact"/>
              <w:rPr>
                <w:rFonts w:hint="eastAsia" w:ascii="宋体" w:hAnsi="宋体"/>
                <w:color w:val="auto"/>
                <w:szCs w:val="21"/>
                <w:highlight w:val="none"/>
              </w:rPr>
            </w:pPr>
            <w:r>
              <w:rPr>
                <w:rFonts w:hint="eastAsia" w:ascii="宋体" w:hAnsi="宋体"/>
                <w:color w:val="auto"/>
                <w:szCs w:val="21"/>
                <w:highlight w:val="none"/>
              </w:rPr>
              <w:t>特种设备</w:t>
            </w:r>
          </w:p>
          <w:p>
            <w:pPr>
              <w:pStyle w:val="2"/>
            </w:pPr>
          </w:p>
          <w:p>
            <w:pPr>
              <w:spacing w:line="400" w:lineRule="exact"/>
              <w:rPr>
                <w:color w:val="auto"/>
                <w:szCs w:val="21"/>
                <w:highlight w:val="none"/>
              </w:rPr>
            </w:pPr>
            <w:r>
              <w:rPr>
                <w:rFonts w:hint="eastAsia"/>
                <w:color w:val="auto"/>
                <w:szCs w:val="21"/>
                <w:highlight w:val="none"/>
              </w:rPr>
              <w:t>环保设施（EMS）</w:t>
            </w:r>
          </w:p>
          <w:p>
            <w:pPr>
              <w:spacing w:line="400" w:lineRule="exact"/>
              <w:rPr>
                <w:color w:val="auto"/>
                <w:szCs w:val="21"/>
                <w:highlight w:val="none"/>
              </w:rPr>
            </w:pPr>
            <w:r>
              <w:rPr>
                <w:rFonts w:hint="eastAsia"/>
                <w:color w:val="auto"/>
                <w:szCs w:val="21"/>
                <w:highlight w:val="none"/>
              </w:rPr>
              <w:t>安全设施（OHSMS）</w:t>
            </w:r>
          </w:p>
          <w:p>
            <w:pPr>
              <w:spacing w:line="400" w:lineRule="exact"/>
              <w:rPr>
                <w:rFonts w:hint="eastAsia"/>
                <w:color w:val="auto"/>
                <w:szCs w:val="21"/>
                <w:highlight w:val="none"/>
              </w:rPr>
            </w:pPr>
            <w:r>
              <w:rPr>
                <w:rFonts w:hint="eastAsia"/>
                <w:color w:val="auto"/>
                <w:szCs w:val="21"/>
                <w:highlight w:val="none"/>
              </w:rPr>
              <w:t>主要检测设备及设备的检定/校准（QMS）</w:t>
            </w:r>
          </w:p>
          <w:p>
            <w:pPr>
              <w:spacing w:line="400" w:lineRule="exact"/>
              <w:rPr>
                <w:rFonts w:hint="eastAsia"/>
                <w:color w:val="auto"/>
                <w:szCs w:val="21"/>
                <w:highlight w:val="none"/>
              </w:rPr>
            </w:pPr>
            <w:r>
              <w:rPr>
                <w:rFonts w:hint="eastAsia"/>
                <w:color w:val="auto"/>
                <w:szCs w:val="21"/>
                <w:highlight w:val="none"/>
              </w:rPr>
              <w:t>环保监测设备（EMS）</w:t>
            </w: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安全监测设备（OHSMS）</w:t>
            </w:r>
          </w:p>
        </w:tc>
        <w:tc>
          <w:tcPr>
            <w:tcW w:w="960" w:type="dxa"/>
            <w:vAlign w:val="top"/>
          </w:tcPr>
          <w:p>
            <w:pPr>
              <w:spacing w:line="44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Q/E/S7.1.3</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宋体" w:hAnsi="宋体" w:cs="宋体"/>
                <w:color w:val="auto"/>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电脑、打印机</w:t>
            </w:r>
            <w:r>
              <w:rPr>
                <w:rFonts w:hint="eastAsia" w:asciiTheme="minorEastAsia" w:hAnsiTheme="minorEastAsia" w:eastAsiaTheme="minorEastAsia" w:cstheme="minorEastAsia"/>
                <w:color w:val="auto"/>
                <w:sz w:val="21"/>
                <w:szCs w:val="21"/>
                <w:highlight w:val="none"/>
              </w:rPr>
              <w:t>等</w:t>
            </w:r>
            <w:r>
              <w:rPr>
                <w:rFonts w:hint="eastAsia" w:asciiTheme="minorEastAsia" w:hAnsiTheme="minorEastAsia" w:eastAsiaTheme="minorEastAsia" w:cstheme="minorEastAsia"/>
                <w:color w:val="auto"/>
                <w:sz w:val="21"/>
                <w:szCs w:val="21"/>
                <w:highlight w:val="none"/>
                <w:lang w:val="en-US" w:eastAsia="zh-CN"/>
              </w:rPr>
              <w:t>办公室设备</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lang w:eastAsia="zh-CN"/>
              </w:rPr>
            </w:pPr>
          </w:p>
          <w:p>
            <w:pPr>
              <w:spacing w:line="400" w:lineRule="exact"/>
              <w:rPr>
                <w:rFonts w:hint="default" w:asciiTheme="minorEastAsia" w:hAnsiTheme="minorEastAsia" w:eastAsiaTheme="minorEastAsia" w:cstheme="minorEastAsia"/>
                <w:color w:val="auto"/>
                <w:sz w:val="21"/>
                <w:szCs w:val="21"/>
                <w:highlight w:val="none"/>
                <w:lang w:val="en-US" w:eastAsia="zh-CN"/>
              </w:rPr>
            </w:pPr>
            <w:r>
              <w:rPr>
                <w:rFonts w:hint="eastAsia" w:ascii="Times New Roman" w:hAnsi="Times New Roman"/>
                <w:sz w:val="21"/>
                <w:szCs w:val="21"/>
              </w:rPr>
              <w:t>查见</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sz w:val="21"/>
                <w:szCs w:val="21"/>
                <w:lang w:val="en-US" w:eastAsia="zh-CN"/>
              </w:rPr>
              <w:t>库房物品放置基本有秩序，有叉车一台，目前停用停用，企业已经写出声明。</w:t>
            </w:r>
          </w:p>
          <w:p>
            <w:pPr>
              <w:spacing w:line="400" w:lineRule="exact"/>
              <w:rPr>
                <w:rFonts w:ascii="宋体" w:hAnsi="宋体"/>
                <w:color w:val="auto"/>
                <w:szCs w:val="21"/>
                <w:highlight w:val="none"/>
              </w:rPr>
            </w:pPr>
          </w:p>
          <w:p>
            <w:pPr>
              <w:spacing w:line="400" w:lineRule="exact"/>
              <w:rPr>
                <w:rFonts w:hint="eastAsia" w:eastAsia="宋体"/>
                <w:color w:val="auto"/>
                <w:szCs w:val="21"/>
                <w:highlight w:val="none"/>
                <w:lang w:val="en-US" w:eastAsia="zh-CN"/>
              </w:rPr>
            </w:pPr>
            <w:r>
              <w:rPr>
                <w:rFonts w:hint="eastAsia"/>
                <w:color w:val="auto"/>
                <w:szCs w:val="21"/>
                <w:highlight w:val="none"/>
              </w:rPr>
              <w:t>消防栓、灭火器</w:t>
            </w:r>
            <w:r>
              <w:rPr>
                <w:rFonts w:hint="eastAsia"/>
                <w:color w:val="auto"/>
                <w:szCs w:val="21"/>
                <w:highlight w:val="none"/>
                <w:lang w:val="en-US" w:eastAsia="zh-CN"/>
              </w:rPr>
              <w:t>若干</w:t>
            </w:r>
          </w:p>
          <w:p>
            <w:pPr>
              <w:spacing w:line="400" w:lineRule="exact"/>
              <w:rPr>
                <w:rFonts w:hint="eastAsia" w:eastAsia="宋体"/>
                <w:color w:val="auto"/>
                <w:szCs w:val="21"/>
                <w:highlight w:val="none"/>
                <w:lang w:eastAsia="zh-CN"/>
              </w:rPr>
            </w:pPr>
            <w:r>
              <w:rPr>
                <w:rFonts w:hint="eastAsia"/>
                <w:color w:val="auto"/>
                <w:szCs w:val="21"/>
                <w:highlight w:val="none"/>
              </w:rPr>
              <w:t>配电箱</w:t>
            </w:r>
            <w:r>
              <w:rPr>
                <w:rFonts w:hint="eastAsia"/>
                <w:color w:val="auto"/>
                <w:szCs w:val="21"/>
                <w:highlight w:val="none"/>
                <w:lang w:eastAsia="zh-CN"/>
              </w:rPr>
              <w:t>无异常</w:t>
            </w:r>
          </w:p>
          <w:p>
            <w:pPr>
              <w:spacing w:line="400" w:lineRule="exact"/>
              <w:rPr>
                <w:rFonts w:hint="eastAsia"/>
                <w:color w:val="auto"/>
                <w:szCs w:val="21"/>
                <w:highlight w:val="none"/>
              </w:rPr>
            </w:pPr>
            <w:r>
              <w:rPr>
                <w:rFonts w:hint="eastAsia" w:ascii="宋体" w:hAnsi="宋体"/>
                <w:color w:val="auto"/>
                <w:szCs w:val="21"/>
                <w:highlight w:val="none"/>
                <w:lang w:eastAsia="zh-CN"/>
              </w:rPr>
              <w:t>无</w:t>
            </w:r>
          </w:p>
          <w:p>
            <w:pPr>
              <w:spacing w:line="400" w:lineRule="exact"/>
              <w:rPr>
                <w:rFonts w:hint="eastAsia"/>
                <w:color w:val="auto"/>
                <w:szCs w:val="21"/>
                <w:highlight w:val="none"/>
              </w:rPr>
            </w:pPr>
          </w:p>
          <w:p>
            <w:pPr>
              <w:spacing w:line="400" w:lineRule="exact"/>
              <w:rPr>
                <w:rFonts w:hint="eastAsia"/>
                <w:color w:val="auto"/>
                <w:szCs w:val="21"/>
                <w:highlight w:val="none"/>
              </w:rPr>
            </w:pPr>
            <w:r>
              <w:rPr>
                <w:rFonts w:hint="eastAsia"/>
                <w:color w:val="auto"/>
                <w:szCs w:val="21"/>
                <w:highlight w:val="none"/>
              </w:rPr>
              <w:t>无</w:t>
            </w:r>
          </w:p>
          <w:p>
            <w:pPr>
              <w:spacing w:line="400" w:lineRule="exact"/>
              <w:rPr>
                <w:rFonts w:hint="eastAsia" w:asciiTheme="minorEastAsia" w:hAnsiTheme="minorEastAsia" w:eastAsiaTheme="minorEastAsia" w:cstheme="minorEastAsia"/>
                <w:color w:val="auto"/>
                <w:sz w:val="21"/>
                <w:szCs w:val="21"/>
              </w:rPr>
            </w:pPr>
            <w:r>
              <w:rPr>
                <w:rFonts w:hint="eastAsia"/>
                <w:color w:val="auto"/>
                <w:szCs w:val="21"/>
                <w:highlight w:val="none"/>
              </w:rPr>
              <w:t>无</w:t>
            </w:r>
          </w:p>
        </w:tc>
        <w:tc>
          <w:tcPr>
            <w:tcW w:w="628" w:type="dxa"/>
            <w:vMerge w:val="restart"/>
            <w:vAlign w:val="top"/>
          </w:tcPr>
          <w:p>
            <w:pPr>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符合</w:t>
            </w: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both"/>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顾客及相关方投诉</w:t>
            </w:r>
          </w:p>
        </w:tc>
        <w:tc>
          <w:tcPr>
            <w:tcW w:w="960" w:type="dxa"/>
            <w:vAlign w:val="top"/>
          </w:tcPr>
          <w:p>
            <w:pPr>
              <w:spacing w:line="440" w:lineRule="exact"/>
              <w:jc w:val="center"/>
              <w:rPr>
                <w:rFonts w:hint="eastAsia" w:asciiTheme="minorEastAsia" w:hAnsiTheme="minorEastAsia" w:eastAsiaTheme="minorEastAsia" w:cstheme="minorEastAsia"/>
                <w:color w:val="auto"/>
                <w:sz w:val="21"/>
                <w:szCs w:val="21"/>
              </w:rPr>
            </w:pPr>
          </w:p>
        </w:tc>
        <w:tc>
          <w:tcPr>
            <w:tcW w:w="10961" w:type="dxa"/>
            <w:vAlign w:val="top"/>
          </w:tcPr>
          <w:p>
            <w:pPr>
              <w:spacing w:line="400" w:lineRule="exact"/>
              <w:rPr>
                <w:rFonts w:hint="eastAsia" w:asciiTheme="minorEastAsia" w:hAnsiTheme="minorEastAsia" w:eastAsiaTheme="minorEastAsia" w:cstheme="minorEastAsia"/>
                <w:color w:val="auto"/>
                <w:sz w:val="21"/>
                <w:szCs w:val="21"/>
              </w:rPr>
            </w:pPr>
            <w:r>
              <w:rPr>
                <w:rFonts w:hint="eastAsia" w:ascii="宋体" w:hAnsi="宋体"/>
                <w:color w:val="auto"/>
                <w:szCs w:val="21"/>
              </w:rPr>
              <w:t>暂无</w:t>
            </w:r>
          </w:p>
        </w:tc>
        <w:tc>
          <w:tcPr>
            <w:tcW w:w="628" w:type="dxa"/>
            <w:vMerge w:val="continue"/>
            <w:tcBorders/>
            <w:vAlign w:val="top"/>
          </w:tcPr>
          <w:p>
            <w:pPr>
              <w:spacing w:line="440" w:lineRule="exact"/>
              <w:jc w:val="center"/>
              <w:rPr>
                <w:rFonts w:hint="eastAsia" w:ascii="Times New Roman" w:hAnsi="Times New Roman" w:eastAsia="宋体" w:cs="Times New Roman"/>
                <w:color w:val="auto"/>
                <w:kern w:val="2"/>
                <w:sz w:val="21"/>
                <w:lang w:val="en-US" w:eastAsia="zh-CN" w:bidi="ar-SA"/>
              </w:rPr>
            </w:pP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tab w:relativeTo="margin" w:alignment="center" w:leader="none"/>
      </w:r>
    </w:p>
    <w:p>
      <w:pPr>
        <w:pStyle w:val="4"/>
      </w:pPr>
      <w:r>
        <w:rPr>
          <w:rFonts w:hint="eastAsia" w:asciiTheme="minorEastAsia" w:hAnsiTheme="minorEastAsia" w:eastAsiaTheme="minorEastAsia" w:cstheme="minor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35ABE"/>
    <w:rsid w:val="03B10C35"/>
    <w:rsid w:val="069971A3"/>
    <w:rsid w:val="09EC7432"/>
    <w:rsid w:val="130D055C"/>
    <w:rsid w:val="14621888"/>
    <w:rsid w:val="1BF75DA7"/>
    <w:rsid w:val="26774497"/>
    <w:rsid w:val="26FF0743"/>
    <w:rsid w:val="4E64408B"/>
    <w:rsid w:val="4EBD64D0"/>
    <w:rsid w:val="51737556"/>
    <w:rsid w:val="555958A5"/>
    <w:rsid w:val="57AD17D1"/>
    <w:rsid w:val="58043860"/>
    <w:rsid w:val="5B461C86"/>
    <w:rsid w:val="5B832722"/>
    <w:rsid w:val="5CE53C8F"/>
    <w:rsid w:val="60D45661"/>
    <w:rsid w:val="61401E1B"/>
    <w:rsid w:val="630C6F9B"/>
    <w:rsid w:val="6C0737C1"/>
    <w:rsid w:val="72CB0AC1"/>
    <w:rsid w:val="76756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2020-05-14T02:54:29Z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