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80"/>
        <w:gridCol w:w="1279"/>
        <w:gridCol w:w="567"/>
        <w:gridCol w:w="1134"/>
        <w:gridCol w:w="173"/>
        <w:gridCol w:w="365"/>
        <w:gridCol w:w="171"/>
        <w:gridCol w:w="738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衡水亚通工程橡胶有限公司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bookmarkStart w:id="14" w:name="_GoBack"/>
            <w:r>
              <w:rPr>
                <w:b w:val="0"/>
                <w:bCs w:val="0"/>
                <w:sz w:val="21"/>
                <w:szCs w:val="21"/>
              </w:rPr>
              <w:t>0157-2020-QEO</w:t>
            </w:r>
            <w:bookmarkEnd w:id="1"/>
            <w:bookmarkEnd w:id="14"/>
          </w:p>
        </w:tc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赵文豹</w:t>
            </w:r>
            <w:bookmarkEnd w:id="5"/>
          </w:p>
        </w:tc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18903181860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</w:rPr>
              <w:t>赵青龙</w:t>
            </w:r>
          </w:p>
        </w:tc>
        <w:tc>
          <w:tcPr>
            <w:tcW w:w="12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953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Q：橡胶支座、橡胶止水带、盆式支座、桥梁伸缩缝的生产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E：橡胶支座、橡胶止水带、盆式支座、桥梁伸缩缝的生产所涉及的相关环境管理活动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O：橡胶支座、橡胶止水带、盆式支座、桥梁伸缩缝的生产所涉及的相关职业健康安全管理活动</w:t>
            </w:r>
            <w:bookmarkEnd w:id="10"/>
          </w:p>
        </w:tc>
        <w:tc>
          <w:tcPr>
            <w:tcW w:w="5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E：14.01.02;17.06.01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O：14.01.02;17.06.01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2020年04月28日 上午至2020年04月28日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E:14.01.02,17.06.01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O:14.01.02,17.06.01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Q:14.01.02,17.06.01</w:t>
            </w: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140970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2020.4.26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2020.4.27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2020.4.27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2020.4.28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</w:t>
            </w:r>
            <w:r>
              <w:rPr>
                <w:rFonts w:hint="eastAsia"/>
                <w:sz w:val="21"/>
                <w:szCs w:val="21"/>
              </w:rPr>
              <w:t>：Q9.2/9.3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AC审核：</w:t>
            </w:r>
            <w:r>
              <w:rPr>
                <w:rFonts w:hint="eastAsia"/>
                <w:sz w:val="21"/>
                <w:szCs w:val="21"/>
              </w:rPr>
              <w:t>Q7.1.4；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Q7.1.3//7.1.5/8.1/8.5.1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FB08A4"/>
    <w:rsid w:val="75025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26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2020-05-15T08:25:12Z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