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0018-2019-2020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hint="eastAsia" w:ascii="宋体" w:hAnsi="宋体" w:cs="宋体"/>
                <w:kern w:val="0"/>
                <w:szCs w:val="21"/>
              </w:rPr>
              <w:t>咸阳圣亚机电设备有限公司</w:t>
            </w:r>
            <w:bookmarkEnd w:id="1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质管部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雷改华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查，编号GF0545  三爪内径千分尺，未能提供有效溯源证明。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GB/T19022-2003标准7.3.2条款的要求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eastAsia" w:ascii="微软雅黑" w:hAnsi="微软雅黑" w:eastAsia="微软雅黑" w:cs="微软雅黑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bookmarkStart w:id="2" w:name="_GoBack"/>
            <w:bookmarkEnd w:id="2"/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250" w:firstLineChars="25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2020.5.4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5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由质管部负责将该计量器具送相关计量检定校准机构进行有效溯源，并对相关人员进行培训。 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pt;height:0.05pt;width:458.2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D156D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4</TotalTime>
  <ScaleCrop>false</ScaleCrop>
  <LinksUpToDate>false</LinksUpToDate>
  <CharactersWithSpaces>333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2020-05-04T03:19:56Z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