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河北盛隆教学设备有限公司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定州市庞村镇西坂村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豆胜怀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13784996127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豆胜怀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0255-2019-QEO-2020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E:监查1,Q:监查1,O:监查1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E：音体美器材、教学仪器、训练健身器材、学生课桌椅床、办公家具、厨房设备、音响设备、幼儿玩教具（国家禁止经营的除外）的销售及相关环境管理活动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Q：音体美器材、教学仪器、训练健身器材、学生课桌椅床、办公家具、厨房设备、音响设备、幼儿玩教具（国家禁止经营的除外）的销售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O：音体美器材、教学仪器、训练健身器材、学生课桌椅床、办公家具、厨房设备、音响设备、幼儿玩教具（国家禁止经营的除外）的销售及相关职业健康安全管理活动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GB/T45001—2020/ISO 45001:2018标准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2020年05月07日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2020年05月09日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  <w:r>
              <w:rPr>
                <w:rFonts w:hint="eastAsia"/>
                <w:b/>
                <w:sz w:val="20"/>
                <w:szCs w:val="22"/>
              </w:rPr>
              <w:t>剩余人日待疫情解除后实施现场审核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81280</wp:posOffset>
                  </wp:positionV>
                  <wp:extent cx="328295" cy="259715"/>
                  <wp:effectExtent l="0" t="0" r="1905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ind w:firstLine="720" w:firstLineChars="300"/>
            </w:pPr>
            <w:r>
              <w:rPr>
                <w:rFonts w:hint="eastAsia"/>
              </w:rPr>
              <w:t>豆胜怀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ind w:firstLine="800" w:firstLineChars="400"/>
              <w:rPr>
                <w:rFonts w:hint="default" w:eastAsia="宋体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/>
                <w:sz w:val="20"/>
                <w:szCs w:val="22"/>
                <w:lang w:val="en-US" w:eastAsia="zh-CN"/>
              </w:rPr>
              <w:t>2020.5.7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4"/>
        <w:gridCol w:w="1022"/>
        <w:gridCol w:w="5456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before="163" w:beforeLines="50" w:line="400" w:lineRule="exact"/>
              <w:ind w:firstLine="3614" w:firstLineChars="1200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远程审核日程安排表</w:t>
            </w:r>
          </w:p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7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 w:firstLine="2730" w:firstLineChars="130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远程视频首次会议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管理层、安全事务代表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OMS：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5.4协商与参与、6.1应对风险和机遇的措施、6.2质量/环境/职业健康安全目标及其实现的策划、Q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6.3变更的策划、7.1.1（EO7.1）资源总则、7.4沟通/信息交流、9.3管理评审、10.1改进、10.3持续改进，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18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13:30～17: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综合部（含财务）</w:t>
            </w: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0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4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8:00～12:00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13:30～17: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业务部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含库房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QMS:5.3组织的岗位、职责和权限、6.2质量目标、8.2产品和服务的要求、8.5.3顾客或外部供方的财产、9.1.2顾客满意、8.4外部提供过程、产品和服务的控制、7.1.3基础设施、7.1.4过程运行环境、7.1.5监视和测量资源8.1运行策划和控制、8.3产品和服务的设计和开发不适用确认、8.5.1销售和服务提供的控制、8.5.2产品标识和可追朔性、8.5.4产品防护、8.5.5交付后的活动、8.5.6销售和服务提供的更改控制，8.6产品和服务的放行、8.7不合格输出的控制。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4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:00～1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补充及跟踪审核：必要部门、必要条款；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审核组与受审核方领导层沟通；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远程末次会：综合评价QMS\EMS\OHSMS管理体系运行总体情况及改进要求，宣告审核发现及审核结论。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92CBD"/>
    <w:rsid w:val="1BF9514A"/>
    <w:rsid w:val="272534CD"/>
    <w:rsid w:val="354B1F03"/>
    <w:rsid w:val="4F6B01C3"/>
    <w:rsid w:val="70522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2020-05-24T07:49:12Z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