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907" w:tblpY="505"/>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hint="eastAsia"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5411" w:type="dxa"/>
          </w:tcPr>
          <w:p>
            <w:pPr>
              <w:ind w:firstLine="210" w:firstLineChars="100"/>
              <w:rPr>
                <w:rFonts w:hAnsi="宋体" w:cs="宋体"/>
                <w:szCs w:val="22"/>
              </w:rPr>
            </w:pPr>
            <w:r>
              <w:rPr>
                <w:rFonts w:hint="eastAsia"/>
                <w:szCs w:val="21"/>
                <w:lang w:eastAsia="zh-CN"/>
              </w:rPr>
              <w:t>成都汉度科技有限公司是一家创新的电力科技公司，坐落于成都国家级软件开发区，致力于国家电网智能配网综合管理平台系统以及相关智能配网设备的开发、生产与销售。</w:t>
            </w:r>
            <w:r>
              <w:rPr>
                <w:rFonts w:hint="eastAsia" w:hAnsi="宋体" w:cs="宋体"/>
                <w:szCs w:val="22"/>
                <w:highlight w:val="none"/>
              </w:rPr>
              <w:t>目前员工人数</w:t>
            </w:r>
            <w:r>
              <w:rPr>
                <w:rFonts w:hint="eastAsia" w:hAnsi="宋体" w:cs="宋体"/>
                <w:szCs w:val="22"/>
                <w:highlight w:val="none"/>
                <w:lang w:val="en-US" w:eastAsia="zh-CN"/>
              </w:rPr>
              <w:t>38</w:t>
            </w:r>
            <w:r>
              <w:rPr>
                <w:rFonts w:hint="eastAsia" w:hAnsi="宋体" w:cs="宋体"/>
                <w:szCs w:val="22"/>
                <w:highlight w:val="none"/>
              </w:rPr>
              <w:t>人，经营状况良好。</w:t>
            </w:r>
          </w:p>
          <w:p>
            <w:pPr>
              <w:spacing w:line="0" w:lineRule="atLeast"/>
              <w:jc w:val="left"/>
              <w:rPr>
                <w:rFonts w:hint="eastAsia" w:ascii="宋体" w:hAnsi="宋体"/>
                <w:szCs w:val="21"/>
              </w:rPr>
            </w:pPr>
          </w:p>
          <w:p>
            <w:pPr>
              <w:spacing w:line="0" w:lineRule="atLeast"/>
              <w:jc w:val="left"/>
              <w:rPr>
                <w:rFonts w:hint="eastAsia" w:ascii="宋体" w:hAnsi="宋体"/>
                <w:szCs w:val="21"/>
                <w:lang w:eastAsia="zh-CN"/>
              </w:rPr>
            </w:pPr>
            <w:r>
              <w:rPr>
                <w:rFonts w:hint="eastAsia" w:ascii="宋体" w:hAnsi="宋体"/>
                <w:szCs w:val="21"/>
              </w:rPr>
              <w:t>该公司目前成立了</w:t>
            </w:r>
            <w:r>
              <w:rPr>
                <w:rFonts w:hint="eastAsia" w:ascii="宋体" w:hAnsi="宋体"/>
                <w:szCs w:val="21"/>
                <w:lang w:eastAsia="zh-CN"/>
              </w:rPr>
              <w:t>四</w:t>
            </w:r>
            <w:r>
              <w:rPr>
                <w:rFonts w:hint="eastAsia" w:ascii="宋体" w:hAnsi="宋体"/>
                <w:szCs w:val="21"/>
              </w:rPr>
              <w:t>个部门：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研发</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、财务部。</w:t>
            </w:r>
          </w:p>
          <w:p>
            <w:pPr>
              <w:spacing w:line="0" w:lineRule="atLeast"/>
              <w:jc w:val="left"/>
              <w:rPr>
                <w:rFonts w:hint="eastAsia" w:ascii="宋体" w:hAnsi="宋体"/>
                <w:szCs w:val="21"/>
                <w:lang w:eastAsia="zh-CN"/>
              </w:rPr>
            </w:pPr>
          </w:p>
          <w:p>
            <w:pPr>
              <w:spacing w:line="400" w:lineRule="exact"/>
              <w:jc w:val="left"/>
              <w:rPr>
                <w:rFonts w:hint="eastAsia" w:ascii="宋体" w:hAnsi="宋体"/>
                <w:szCs w:val="21"/>
              </w:rPr>
            </w:pPr>
            <w:r>
              <w:rPr>
                <w:rFonts w:hint="eastAsia" w:ascii="宋体" w:hAnsi="宋体"/>
                <w:szCs w:val="21"/>
              </w:rPr>
              <w:t>抽查：组织机构图、职能分配表、职责描述，基本保持一致。</w:t>
            </w:r>
          </w:p>
          <w:p>
            <w:pPr>
              <w:spacing w:line="0" w:lineRule="atLeast"/>
              <w:ind w:firstLine="210" w:firstLineChars="100"/>
              <w:jc w:val="left"/>
              <w:rPr>
                <w:rFonts w:hint="eastAsia" w:ascii="宋体" w:hAnsi="宋体"/>
                <w:szCs w:val="21"/>
                <w:lang w:eastAsia="zh-CN"/>
              </w:rPr>
            </w:pPr>
          </w:p>
          <w:p>
            <w:pPr>
              <w:spacing w:line="240" w:lineRule="atLeast"/>
              <w:ind w:left="630" w:hanging="630" w:hangingChars="300"/>
              <w:jc w:val="left"/>
              <w:rPr>
                <w:rFonts w:hint="eastAsia" w:ascii="宋体" w:hAnsi="宋体"/>
                <w:szCs w:val="21"/>
              </w:rPr>
            </w:pPr>
            <w:r>
              <w:rPr>
                <w:rFonts w:hint="eastAsia" w:ascii="宋体" w:hAnsi="宋体"/>
                <w:szCs w:val="21"/>
              </w:rPr>
              <w:t>核实：</w:t>
            </w:r>
            <w:r>
              <w:rPr>
                <w:rFonts w:hint="eastAsia"/>
                <w:color w:val="000000"/>
                <w:szCs w:val="21"/>
                <w:highlight w:val="none"/>
                <w:lang w:val="de-DE"/>
              </w:rPr>
              <w:t>生产经营地址：</w:t>
            </w:r>
            <w:bookmarkStart w:id="0" w:name="生产地址"/>
            <w:r>
              <w:t>成都市高新区天府大道北段1480号孵化园5号楼105、107</w:t>
            </w:r>
            <w:bookmarkEnd w:id="0"/>
            <w:r>
              <w:rPr>
                <w:rFonts w:hint="eastAsia"/>
                <w:color w:val="000000"/>
                <w:szCs w:val="21"/>
                <w:highlight w:val="none"/>
                <w:lang w:val="de-DE"/>
              </w:rPr>
              <w:t>，与</w:t>
            </w:r>
            <w:r>
              <w:rPr>
                <w:rFonts w:hint="eastAsia" w:ascii="宋体" w:hAnsi="宋体"/>
                <w:szCs w:val="21"/>
                <w:highlight w:val="none"/>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color w:val="000000"/>
                <w:szCs w:val="21"/>
              </w:rPr>
            </w:pPr>
            <w:r>
              <w:rPr>
                <w:rFonts w:hint="eastAsia" w:ascii="宋体" w:hAnsi="宋体"/>
                <w:szCs w:val="21"/>
              </w:rPr>
              <w:t>EMS: 计算机应用软件的开发及服务；电力系统智能输变信息、配电信息、用电信息采集用控制模块的设计、生产、销售（涉及资质许可除外）所涉及的环境管理体系活动。</w:t>
            </w:r>
          </w:p>
          <w:p>
            <w:pPr>
              <w:spacing w:line="0" w:lineRule="atLeast"/>
              <w:jc w:val="left"/>
              <w:rPr>
                <w:rFonts w:hint="eastAsia" w:ascii="宋体" w:hAnsi="宋体"/>
                <w:szCs w:val="21"/>
              </w:rPr>
            </w:pPr>
            <w:r>
              <w:rPr>
                <w:rFonts w:hint="eastAsia" w:ascii="宋体" w:hAnsi="宋体"/>
                <w:szCs w:val="21"/>
              </w:rPr>
              <w:t>OHSMS:计算机应用软件的开发及服务；电力系统智能输变信息、配电信息、用电信息采集用控制模块的设计、生产、销售（涉及资质许可除外）所涉及的职业健康安全管理活动。</w:t>
            </w:r>
          </w:p>
          <w:p>
            <w:pPr>
              <w:spacing w:line="0" w:lineRule="atLeast"/>
              <w:ind w:firstLine="210" w:firstLineChars="100"/>
              <w:jc w:val="left"/>
              <w:rPr>
                <w:rFonts w:hint="eastAsia" w:ascii="宋体" w:hAnsi="宋体"/>
                <w:szCs w:val="21"/>
                <w:lang w:eastAsia="zh-CN"/>
              </w:rPr>
            </w:pPr>
            <w:r>
              <w:rPr>
                <w:rFonts w:hint="eastAsia" w:ascii="宋体" w:hAnsi="宋体"/>
                <w:szCs w:val="21"/>
                <w:lang w:eastAsia="zh-CN"/>
              </w:rPr>
              <w:t>与申请的</w:t>
            </w:r>
            <w:r>
              <w:rPr>
                <w:rFonts w:hint="eastAsia" w:ascii="宋体" w:hAnsi="宋体"/>
                <w:szCs w:val="21"/>
              </w:rPr>
              <w:t>认证范围</w:t>
            </w:r>
            <w:r>
              <w:rPr>
                <w:rFonts w:hint="eastAsia" w:ascii="宋体" w:hAnsi="宋体"/>
                <w:szCs w:val="21"/>
                <w:lang w:eastAsia="zh-CN"/>
              </w:rPr>
              <w:t>一致。</w:t>
            </w:r>
          </w:p>
          <w:p>
            <w:pPr>
              <w:spacing w:line="0" w:lineRule="atLeast"/>
              <w:ind w:firstLine="210" w:firstLineChars="100"/>
              <w:jc w:val="left"/>
              <w:rPr>
                <w:rFonts w:hint="eastAsia" w:ascii="宋体" w:hAnsi="宋体"/>
                <w:szCs w:val="21"/>
                <w:lang w:eastAsia="zh-CN"/>
              </w:rPr>
            </w:pPr>
          </w:p>
          <w:p>
            <w:pPr>
              <w:widowControl/>
              <w:ind w:firstLine="210" w:firstLineChars="100"/>
              <w:jc w:val="left"/>
              <w:rPr>
                <w:rFonts w:hint="eastAsia" w:ascii="宋体" w:hAnsi="宋体" w:cs="宋体"/>
                <w:szCs w:val="21"/>
              </w:rPr>
            </w:pPr>
            <w:r>
              <w:rPr>
                <w:rFonts w:hint="eastAsia" w:ascii="宋体" w:hAnsi="宋体"/>
                <w:szCs w:val="21"/>
              </w:rPr>
              <w:t>询问，</w:t>
            </w:r>
            <w:r>
              <w:rPr>
                <w:rFonts w:hint="eastAsia" w:ascii="宋体" w:hAnsi="宋体" w:eastAsia="宋体" w:cs="宋体"/>
                <w:szCs w:val="21"/>
              </w:rPr>
              <w:t>主要设备为</w:t>
            </w:r>
            <w:r>
              <w:rPr>
                <w:rFonts w:hint="eastAsia" w:ascii="宋体" w:hAnsi="宋体" w:eastAsia="宋体" w:cs="宋体"/>
                <w:szCs w:val="21"/>
                <w:lang w:val="en-US" w:eastAsia="zh-CN"/>
              </w:rPr>
              <w:t>贴片机、稳压电源、热风枪、</w:t>
            </w:r>
            <w:r>
              <w:rPr>
                <w:rFonts w:hint="eastAsia" w:ascii="宋体" w:hAnsi="宋体" w:eastAsia="宋体" w:cs="宋体"/>
                <w:szCs w:val="21"/>
              </w:rPr>
              <w:t>电脑及办公设备（</w:t>
            </w:r>
            <w:r>
              <w:rPr>
                <w:rFonts w:hint="eastAsia" w:ascii="宋体" w:hAnsi="宋体" w:cs="宋体"/>
                <w:szCs w:val="21"/>
              </w:rPr>
              <w:t>含传真机、打印机等）和空调等，关键过程：</w:t>
            </w:r>
            <w:r>
              <w:rPr>
                <w:rFonts w:hint="eastAsia" w:ascii="宋体" w:hAnsi="宋体" w:cs="宋体"/>
                <w:szCs w:val="21"/>
                <w:lang w:eastAsia="zh-CN"/>
              </w:rPr>
              <w:t>软件设计、</w:t>
            </w:r>
            <w:r>
              <w:rPr>
                <w:rFonts w:hint="eastAsia" w:ascii="宋体" w:hAnsi="宋体"/>
                <w:szCs w:val="21"/>
              </w:rPr>
              <w:t>销售</w:t>
            </w:r>
            <w:r>
              <w:rPr>
                <w:rFonts w:hint="eastAsia" w:ascii="宋体" w:hAnsi="宋体" w:cs="宋体"/>
                <w:szCs w:val="21"/>
              </w:rPr>
              <w:t>过程。查体系运行时间：20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研发</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、财务部。</w:t>
            </w:r>
          </w:p>
          <w:p>
            <w:pPr>
              <w:widowControl/>
              <w:ind w:firstLine="210" w:firstLineChars="100"/>
              <w:jc w:val="left"/>
              <w:rPr>
                <w:rFonts w:hint="eastAsia" w:ascii="宋体" w:hAnsi="宋体" w:cs="宋体"/>
                <w:szCs w:val="21"/>
              </w:rPr>
            </w:pP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41</w:t>
            </w:r>
            <w:r>
              <w:rPr>
                <w:rFonts w:hint="eastAsia" w:ascii="宋体" w:hAnsi="宋体"/>
                <w:kern w:val="44"/>
                <w:szCs w:val="21"/>
              </w:rPr>
              <w:t>个。</w:t>
            </w:r>
          </w:p>
        </w:tc>
        <w:tc>
          <w:tcPr>
            <w:tcW w:w="1109" w:type="dxa"/>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E/S：4.1、4.2、4.3、4.4</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5411" w:type="dxa"/>
          </w:tcPr>
          <w:p>
            <w:pPr>
              <w:jc w:val="left"/>
              <w:rPr>
                <w:szCs w:val="22"/>
              </w:rPr>
            </w:pPr>
            <w:r>
              <w:rPr>
                <w:rFonts w:hint="eastAsia"/>
                <w:szCs w:val="22"/>
              </w:rPr>
              <w:t>环境</w:t>
            </w:r>
            <w:r>
              <w:rPr>
                <w:rFonts w:hint="eastAsia"/>
                <w:szCs w:val="22"/>
                <w:lang w:eastAsia="zh-CN"/>
              </w:rPr>
              <w:t>、</w:t>
            </w:r>
            <w:r>
              <w:rPr>
                <w:rFonts w:hint="eastAsia"/>
                <w:szCs w:val="22"/>
              </w:rPr>
              <w:t xml:space="preserve">职业健康安全管理方针： </w:t>
            </w:r>
          </w:p>
          <w:p>
            <w:pPr>
              <w:rPr>
                <w:rFonts w:hint="eastAsia"/>
                <w:b w:val="0"/>
                <w:bCs w:val="0"/>
                <w:sz w:val="21"/>
                <w:szCs w:val="21"/>
              </w:rPr>
            </w:pPr>
            <w:r>
              <w:rPr>
                <w:rFonts w:hint="eastAsia"/>
                <w:b w:val="0"/>
                <w:bCs w:val="0"/>
                <w:sz w:val="21"/>
                <w:szCs w:val="21"/>
              </w:rPr>
              <w:t>“</w:t>
            </w:r>
            <w:r>
              <w:rPr>
                <w:rFonts w:hint="eastAsia" w:ascii="宋体" w:hAnsi="宋体" w:cs="宋体"/>
                <w:b w:val="0"/>
                <w:bCs w:val="0"/>
                <w:kern w:val="0"/>
                <w:sz w:val="21"/>
                <w:szCs w:val="21"/>
                <w:lang w:eastAsia="zh-CN"/>
              </w:rPr>
              <w:t>遵纪守法，爱护环境，节能减耗，杜绝事故，消除隐患，持续改善</w:t>
            </w:r>
            <w:r>
              <w:rPr>
                <w:rFonts w:hint="eastAsia"/>
                <w:b w:val="0"/>
                <w:bCs w:val="0"/>
                <w:sz w:val="21"/>
                <w:szCs w:val="21"/>
              </w:rPr>
              <w:t>”。</w:t>
            </w:r>
          </w:p>
          <w:p>
            <w:pPr>
              <w:jc w:val="left"/>
              <w:rPr>
                <w:rFonts w:hint="eastAsia"/>
                <w:szCs w:val="22"/>
                <w:lang w:eastAsia="zh-CN"/>
              </w:rPr>
            </w:pPr>
            <w:r>
              <w:rPr>
                <w:rFonts w:hint="eastAsia"/>
                <w:szCs w:val="22"/>
                <w:lang w:eastAsia="zh-CN"/>
              </w:rPr>
              <w:t>环境、职业健康安全目标：</w:t>
            </w:r>
          </w:p>
          <w:p>
            <w:pPr>
              <w:numPr>
                <w:ilvl w:val="0"/>
                <w:numId w:val="0"/>
              </w:numPr>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1）废水、固废、噪声排放无投诉；</w:t>
            </w:r>
          </w:p>
          <w:p>
            <w:pPr>
              <w:numPr>
                <w:ilvl w:val="0"/>
                <w:numId w:val="0"/>
              </w:numPr>
              <w:jc w:val="left"/>
              <w:rPr>
                <w:rFonts w:hint="eastAsia"/>
                <w:sz w:val="21"/>
                <w:szCs w:val="21"/>
                <w:lang w:val="en-US" w:eastAsia="zh-CN"/>
              </w:rPr>
            </w:pPr>
            <w:r>
              <w:rPr>
                <w:rFonts w:hint="eastAsia" w:ascii="宋体" w:hAnsi="宋体" w:cs="宋体"/>
                <w:kern w:val="0"/>
                <w:sz w:val="21"/>
                <w:szCs w:val="21"/>
                <w:lang w:val="en-US" w:eastAsia="zh-CN"/>
              </w:rPr>
              <w:t>2）</w:t>
            </w:r>
            <w:r>
              <w:rPr>
                <w:rFonts w:hint="eastAsia" w:ascii="宋体" w:hAnsi="宋体" w:cs="宋体"/>
                <w:kern w:val="0"/>
                <w:sz w:val="21"/>
                <w:szCs w:val="21"/>
                <w:lang w:eastAsia="zh-CN"/>
              </w:rPr>
              <w:t>安全事故财物损失小于1000元≤1单/季,损失超过1000元严重致残或死亡事故0单/季</w:t>
            </w:r>
            <w:r>
              <w:rPr>
                <w:rFonts w:hint="eastAsia"/>
                <w:sz w:val="21"/>
                <w:szCs w:val="21"/>
                <w:lang w:eastAsia="zh-CN"/>
              </w:rPr>
              <w:t>；</w:t>
            </w:r>
          </w:p>
          <w:p>
            <w:pPr>
              <w:numPr>
                <w:ilvl w:val="0"/>
                <w:numId w:val="0"/>
              </w:numPr>
              <w:jc w:val="left"/>
              <w:rPr>
                <w:rFonts w:hint="eastAsia"/>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无火灾爆炸事故发生</w:t>
            </w:r>
            <w:r>
              <w:rPr>
                <w:rFonts w:hint="eastAsia"/>
                <w:sz w:val="21"/>
                <w:szCs w:val="21"/>
                <w:lang w:eastAsia="zh-CN"/>
              </w:rPr>
              <w:t>。</w:t>
            </w:r>
          </w:p>
          <w:p>
            <w:pPr>
              <w:jc w:val="left"/>
              <w:rPr>
                <w:rFonts w:ascii="宋体" w:hAnsi="宋体"/>
                <w:szCs w:val="21"/>
              </w:rPr>
            </w:pPr>
            <w:r>
              <w:rPr>
                <w:rFonts w:hint="eastAsia"/>
                <w:szCs w:val="22"/>
              </w:rPr>
              <w:t>拟定有管理方案和预案。</w:t>
            </w:r>
          </w:p>
        </w:tc>
        <w:tc>
          <w:tcPr>
            <w:tcW w:w="1109" w:type="dxa"/>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E/S：5.1、6.2</w:t>
            </w:r>
          </w:p>
          <w:p>
            <w:pPr>
              <w:spacing w:line="440" w:lineRule="exact"/>
              <w:jc w:val="center"/>
              <w:rPr>
                <w:rFonts w:ascii="宋体" w:hAnsi="宋体"/>
                <w:szCs w:val="21"/>
              </w:rPr>
            </w:pP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5411"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szCs w:val="21"/>
                <w:lang w:eastAsia="zh-CN"/>
              </w:rPr>
              <w:t>李文超</w:t>
            </w:r>
            <w:r>
              <w:rPr>
                <w:rFonts w:hint="eastAsia"/>
                <w:szCs w:val="21"/>
              </w:rPr>
              <w:t>（组长）、</w:t>
            </w:r>
            <w:r>
              <w:rPr>
                <w:rFonts w:hint="eastAsia"/>
                <w:szCs w:val="21"/>
                <w:lang w:eastAsia="zh-CN"/>
              </w:rPr>
              <w:t>朱晓寒</w:t>
            </w:r>
            <w:r>
              <w:rPr>
                <w:rFonts w:hint="eastAsia"/>
                <w:szCs w:val="21"/>
              </w:rPr>
              <w:t>（组员）。</w:t>
            </w:r>
          </w:p>
          <w:p>
            <w:pPr>
              <w:tabs>
                <w:tab w:val="right" w:pos="9332"/>
              </w:tabs>
              <w:spacing w:line="440" w:lineRule="exact"/>
              <w:rPr>
                <w:rFonts w:ascii="宋体" w:hAnsi="宋体" w:cs="宋体"/>
                <w:szCs w:val="21"/>
              </w:rPr>
            </w:pPr>
            <w:r>
              <w:rPr>
                <w:rFonts w:hint="eastAsia" w:ascii="宋体" w:hAnsi="宋体" w:cs="宋体"/>
                <w:szCs w:val="21"/>
              </w:rPr>
              <w:t>见</w:t>
            </w:r>
            <w:r>
              <w:rPr>
                <w:rFonts w:hint="eastAsia" w:ascii="宋体" w:hAnsi="宋体" w:cs="宋体"/>
                <w:szCs w:val="21"/>
                <w:highlight w:val="none"/>
              </w:rPr>
              <w:t>有：《内审不符合项报告》1份，涉及</w:t>
            </w:r>
            <w:r>
              <w:rPr>
                <w:rFonts w:hint="eastAsia" w:ascii="宋体" w:hAnsi="宋体" w:cs="宋体"/>
                <w:szCs w:val="21"/>
                <w:highlight w:val="none"/>
                <w:lang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Q/</w:t>
            </w:r>
            <w:r>
              <w:rPr>
                <w:rFonts w:hint="eastAsia" w:ascii="宋体" w:hAnsi="宋体" w:cs="宋体"/>
                <w:szCs w:val="21"/>
                <w:highlight w:val="none"/>
              </w:rPr>
              <w:t>E</w:t>
            </w:r>
            <w:r>
              <w:rPr>
                <w:rFonts w:hint="eastAsia" w:ascii="宋体" w:hAnsi="宋体" w:cs="宋体"/>
                <w:szCs w:val="21"/>
                <w:highlight w:val="none"/>
                <w:lang w:val="en-US" w:eastAsia="zh-CN"/>
              </w:rPr>
              <w:t>/</w:t>
            </w:r>
            <w:r>
              <w:rPr>
                <w:rFonts w:hint="eastAsia" w:ascii="宋体" w:hAnsi="宋体" w:cs="宋体"/>
                <w:szCs w:val="21"/>
                <w:highlight w:val="none"/>
              </w:rPr>
              <w:t>S</w:t>
            </w:r>
            <w:r>
              <w:rPr>
                <w:highlight w:val="none"/>
              </w:rPr>
              <w:t>7.</w:t>
            </w:r>
            <w:r>
              <w:rPr>
                <w:rFonts w:hint="eastAsia"/>
                <w:highlight w:val="none"/>
                <w:lang w:val="en-US" w:eastAsia="zh-CN"/>
              </w:rPr>
              <w:t>5.3</w:t>
            </w:r>
            <w:r>
              <w:rPr>
                <w:rFonts w:hint="eastAsia" w:ascii="宋体" w:hAnsi="宋体" w:cs="宋体"/>
                <w:szCs w:val="21"/>
                <w:highlight w:val="none"/>
              </w:rPr>
              <w:t>条款</w:t>
            </w:r>
            <w:r>
              <w:rPr>
                <w:rFonts w:hint="eastAsia" w:ascii="宋体" w:hAnsi="宋体" w:cs="宋体"/>
                <w:szCs w:val="21"/>
                <w:highlight w:val="none"/>
                <w:lang w:val="en-US" w:eastAsia="zh-CN"/>
              </w:rPr>
              <w:t>未保管好文件，致使记录清单遗失</w:t>
            </w:r>
            <w:r>
              <w:rPr>
                <w:rFonts w:hint="eastAsia" w:ascii="宋体" w:hAnsi="宋体" w:cs="宋体"/>
                <w:szCs w:val="21"/>
                <w:highlight w:val="none"/>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109" w:type="dxa"/>
            <w:vAlign w:val="top"/>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E/S：9.2</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tabs>
                <w:tab w:val="right" w:pos="9332"/>
              </w:tabs>
              <w:spacing w:line="440" w:lineRule="exact"/>
              <w:rPr>
                <w:rFonts w:ascii="宋体" w:hAnsi="宋体"/>
                <w:szCs w:val="21"/>
              </w:rPr>
            </w:pPr>
            <w:r>
              <w:rPr>
                <w:rFonts w:hint="eastAsia" w:ascii="宋体" w:hAnsi="宋体"/>
                <w:szCs w:val="21"/>
              </w:rPr>
              <w:t>管理评审：</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时间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输入是否完整</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提出的改进内容</w:t>
            </w:r>
          </w:p>
          <w:p>
            <w:pPr>
              <w:tabs>
                <w:tab w:val="right" w:pos="9332"/>
              </w:tabs>
              <w:spacing w:line="440" w:lineRule="exact"/>
              <w:rPr>
                <w:rFonts w:ascii="宋体" w:hAnsi="宋体"/>
                <w:szCs w:val="21"/>
              </w:rPr>
            </w:pPr>
          </w:p>
        </w:tc>
        <w:tc>
          <w:tcPr>
            <w:tcW w:w="5411" w:type="dxa"/>
          </w:tcPr>
          <w:p>
            <w:pPr>
              <w:tabs>
                <w:tab w:val="right" w:pos="9332"/>
              </w:tabs>
              <w:spacing w:line="440" w:lineRule="exact"/>
              <w:rPr>
                <w:rFonts w:ascii="宋体" w:hAnsi="宋体"/>
                <w:szCs w:val="21"/>
              </w:rPr>
            </w:pPr>
            <w:r>
              <w:rPr>
                <w:rFonts w:hint="eastAsia" w:ascii="宋体" w:hAnsi="宋体"/>
                <w:szCs w:val="21"/>
              </w:rPr>
              <w:t>查见《管理评审计划》、《管理评审会议记录》</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管理评审于2</w:t>
            </w:r>
            <w:r>
              <w:rPr>
                <w:rFonts w:hint="eastAsia" w:ascii="宋体" w:hAnsi="宋体"/>
                <w:color w:val="auto"/>
                <w:szCs w:val="21"/>
              </w:rPr>
              <w:t>020年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日由总经</w:t>
            </w:r>
            <w:r>
              <w:rPr>
                <w:rFonts w:hint="eastAsia" w:ascii="宋体" w:hAnsi="宋体"/>
                <w:szCs w:val="21"/>
              </w:rPr>
              <w:t>理</w:t>
            </w:r>
            <w:r>
              <w:rPr>
                <w:rFonts w:hint="eastAsia" w:ascii="宋体" w:hAnsi="宋体"/>
                <w:szCs w:val="21"/>
                <w:lang w:eastAsia="zh-CN"/>
              </w:rPr>
              <w:t>代辉</w:t>
            </w:r>
            <w:r>
              <w:rPr>
                <w:rFonts w:hint="eastAsia" w:ascii="宋体" w:hAnsi="宋体"/>
                <w:szCs w:val="21"/>
              </w:rPr>
              <w:t>主持完成。</w:t>
            </w:r>
          </w:p>
          <w:p>
            <w:pPr>
              <w:tabs>
                <w:tab w:val="right" w:pos="9332"/>
              </w:tabs>
              <w:spacing w:line="440" w:lineRule="exact"/>
              <w:rPr>
                <w:rFonts w:ascii="宋体" w:hAnsi="宋体"/>
                <w:szCs w:val="21"/>
              </w:rPr>
            </w:pPr>
          </w:p>
          <w:p>
            <w:pPr>
              <w:tabs>
                <w:tab w:val="right" w:pos="9332"/>
              </w:tabs>
              <w:spacing w:line="440" w:lineRule="exact"/>
              <w:rPr>
                <w:rFonts w:ascii="宋体" w:hAnsi="宋体"/>
                <w:szCs w:val="21"/>
              </w:rPr>
            </w:pPr>
            <w:r>
              <w:rPr>
                <w:rFonts w:hint="eastAsia" w:ascii="宋体" w:hAnsi="宋体"/>
                <w:szCs w:val="21"/>
              </w:rPr>
              <w:t>提供主要输入材料有：各部门总结，输入信息基本充分和满足要求。</w:t>
            </w:r>
          </w:p>
          <w:p>
            <w:pPr>
              <w:tabs>
                <w:tab w:val="right" w:pos="9332"/>
              </w:tabs>
              <w:spacing w:line="440" w:lineRule="exact"/>
              <w:rPr>
                <w:rFonts w:ascii="宋体" w:hAnsi="宋体"/>
                <w:szCs w:val="21"/>
              </w:rPr>
            </w:pPr>
            <w:r>
              <w:rPr>
                <w:rFonts w:hint="eastAsia" w:ascii="宋体" w:hAnsi="宋体"/>
                <w:szCs w:val="21"/>
              </w:rPr>
              <w:t>输出见“管理评审报告”, 做出了管理体系基本适宜、充分和有效的评审结论。</w:t>
            </w:r>
          </w:p>
          <w:p>
            <w:pPr>
              <w:pStyle w:val="2"/>
              <w:spacing w:before="116" w:line="355" w:lineRule="auto"/>
              <w:ind w:left="107" w:right="89"/>
              <w:rPr>
                <w:rFonts w:hint="eastAsia"/>
              </w:rPr>
            </w:pPr>
            <w:r>
              <w:rPr>
                <w:rFonts w:hint="eastAsia"/>
              </w:rPr>
              <w:t>提出以下改进内容：</w:t>
            </w:r>
            <w:r>
              <w:rPr>
                <w:rFonts w:hint="eastAsia"/>
                <w:lang w:val="en-US" w:eastAsia="zh-CN"/>
              </w:rPr>
              <w:t>1）</w:t>
            </w:r>
            <w:r>
              <w:rPr>
                <w:rFonts w:hint="eastAsia"/>
              </w:rPr>
              <w:t>进一步贯彻管理体系的各项规定，努力将各项工作深入和细致；</w:t>
            </w:r>
          </w:p>
          <w:p>
            <w:pPr>
              <w:pStyle w:val="2"/>
              <w:spacing w:before="116" w:line="355" w:lineRule="auto"/>
              <w:ind w:left="107" w:right="89"/>
              <w:rPr>
                <w:rFonts w:hint="eastAsia"/>
              </w:rPr>
            </w:pPr>
            <w:r>
              <w:rPr>
                <w:rFonts w:hint="eastAsia"/>
                <w:lang w:val="en-US" w:eastAsia="zh-CN"/>
              </w:rPr>
              <w:t>2）</w:t>
            </w:r>
            <w:r>
              <w:rPr>
                <w:rFonts w:hint="eastAsia"/>
              </w:rPr>
              <w:t>加强对实施有效性的审核，对不理解和不按文件规定实施的环节进行培训和考核；</w:t>
            </w:r>
          </w:p>
          <w:p>
            <w:pPr>
              <w:pStyle w:val="2"/>
              <w:spacing w:before="116" w:line="355" w:lineRule="auto"/>
              <w:ind w:left="107" w:right="89"/>
              <w:rPr>
                <w:rFonts w:ascii="宋体" w:hAnsi="宋体"/>
                <w:szCs w:val="21"/>
              </w:rPr>
            </w:pPr>
            <w:r>
              <w:rPr>
                <w:rFonts w:hint="eastAsia"/>
                <w:lang w:val="en-US" w:eastAsia="zh-CN"/>
              </w:rPr>
              <w:t>3）</w:t>
            </w:r>
            <w:r>
              <w:rPr>
                <w:rFonts w:hint="eastAsia"/>
              </w:rPr>
              <w:t>通过对体系的进一步实施，努力提高全体员工的质量、环境、职业健康安全意识和工作的责任心。</w:t>
            </w:r>
          </w:p>
        </w:tc>
        <w:tc>
          <w:tcPr>
            <w:tcW w:w="1109" w:type="dxa"/>
            <w:vAlign w:val="top"/>
          </w:tcPr>
          <w:p>
            <w:pPr>
              <w:spacing w:line="440" w:lineRule="exact"/>
              <w:jc w:val="left"/>
              <w:rPr>
                <w:rFonts w:hint="default" w:ascii="宋体" w:hAnsi="宋体" w:eastAsia="宋体"/>
                <w:szCs w:val="21"/>
                <w:lang w:val="en-US" w:eastAsia="zh-CN"/>
              </w:rPr>
            </w:pPr>
            <w:r>
              <w:rPr>
                <w:rFonts w:hint="eastAsia" w:ascii="宋体" w:hAnsi="宋体"/>
                <w:szCs w:val="21"/>
                <w:lang w:val="en-US" w:eastAsia="zh-CN"/>
              </w:rPr>
              <w:t>E/S：9.3</w:t>
            </w:r>
          </w:p>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eastAsia="宋体" w:cs="Times New Roman"/>
                <w:kern w:val="2"/>
                <w:sz w:val="21"/>
                <w:szCs w:val="21"/>
                <w:lang w:val="en-US" w:eastAsia="zh-CN" w:bidi="ar-SA"/>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859" w:tblpY="465"/>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安评报告及安评验收</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执行的排污标准（EMS）</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执行的安全法规（OHSMS）</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 xml:space="preserve">合规性评价报告 </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环境相关监测报告（EMS）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职业健康相关监测报告（OHSMS）</w:t>
            </w:r>
          </w:p>
        </w:tc>
        <w:tc>
          <w:tcPr>
            <w:tcW w:w="5411"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rPr>
              <w:t>中华人民共和国消费者权益保护法</w:t>
            </w:r>
            <w:r>
              <w:rPr>
                <w:rFonts w:hint="eastAsia" w:ascii="宋体" w:hAnsi="宋体"/>
                <w:color w:val="000000"/>
                <w:szCs w:val="21"/>
              </w:rPr>
              <w:t>等。</w:t>
            </w:r>
          </w:p>
          <w:p>
            <w:pPr>
              <w:widowControl/>
              <w:jc w:val="left"/>
              <w:rPr>
                <w:rFonts w:ascii="宋体" w:hAnsi="宋体" w:cs="宋体"/>
                <w:color w:val="000000"/>
                <w:kern w:val="0"/>
                <w:szCs w:val="21"/>
              </w:rPr>
            </w:pPr>
          </w:p>
          <w:p>
            <w:pPr>
              <w:widowControl/>
              <w:jc w:val="left"/>
            </w:pPr>
            <w:r>
              <w:rPr>
                <w:rFonts w:hint="eastAsia"/>
              </w:rPr>
              <w:t>不适应</w:t>
            </w:r>
          </w:p>
          <w:p>
            <w:pPr>
              <w:spacing w:line="400" w:lineRule="exact"/>
              <w:rPr>
                <w:rFonts w:ascii="宋体" w:hAnsi="宋体"/>
                <w:szCs w:val="21"/>
              </w:rPr>
            </w:pPr>
          </w:p>
          <w:p>
            <w:pPr>
              <w:widowControl/>
              <w:jc w:val="left"/>
              <w:rPr>
                <w:rFonts w:ascii="宋体" w:hAnsi="宋体" w:cs="宋体"/>
                <w:color w:val="000000"/>
                <w:kern w:val="0"/>
                <w:szCs w:val="21"/>
              </w:rPr>
            </w:pPr>
            <w:r>
              <w:rPr>
                <w:rFonts w:hint="eastAsia"/>
              </w:rPr>
              <w:t>不适应</w:t>
            </w:r>
          </w:p>
          <w:p>
            <w:pPr>
              <w:rPr>
                <w:rFonts w:hint="eastAsia" w:ascii="宋体" w:hAnsi="宋体"/>
                <w:szCs w:val="21"/>
              </w:rPr>
            </w:pPr>
          </w:p>
          <w:p>
            <w:pPr>
              <w:widowControl/>
              <w:jc w:val="left"/>
              <w:rPr>
                <w:rFonts w:ascii="宋体" w:hAnsi="宋体"/>
                <w:szCs w:val="21"/>
                <w:highlight w:val="green"/>
              </w:rPr>
            </w:pPr>
            <w:r>
              <w:rPr>
                <w:rFonts w:hint="eastAsia" w:ascii="宋体" w:hAnsi="宋体" w:cs="宋体"/>
                <w:color w:val="000000"/>
                <w:kern w:val="0"/>
                <w:szCs w:val="21"/>
              </w:rPr>
              <w:t>《污水排入城镇下水道水质标准》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hAnsi="宋体"/>
                <w:szCs w:val="21"/>
              </w:rPr>
              <w:t>；《工业企业厂界环境噪声排放标准》（GB12348-2008）3类标准。</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中华人民共和国安全消防法、中华人民共和国劳动合同法、中华人民共和国安全生产法等</w:t>
            </w:r>
          </w:p>
          <w:p>
            <w:pPr>
              <w:spacing w:line="400" w:lineRule="exact"/>
              <w:rPr>
                <w:rFonts w:ascii="宋体" w:hAnsi="宋体"/>
                <w:szCs w:val="21"/>
              </w:rPr>
            </w:pPr>
          </w:p>
          <w:p>
            <w:pPr>
              <w:spacing w:line="400" w:lineRule="exact"/>
              <w:rPr>
                <w:rFonts w:ascii="宋体" w:hAnsi="宋体"/>
                <w:szCs w:val="21"/>
                <w:highlight w:val="none"/>
              </w:rPr>
            </w:pP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日进行了合规性评价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tc>
        <w:tc>
          <w:tcPr>
            <w:tcW w:w="1109" w:type="dxa"/>
          </w:tcPr>
          <w:p>
            <w:pPr>
              <w:spacing w:line="440" w:lineRule="exact"/>
              <w:jc w:val="center"/>
              <w:rPr>
                <w:rFonts w:ascii="宋体" w:hAnsi="宋体"/>
                <w:szCs w:val="21"/>
              </w:rPr>
            </w:pPr>
            <w:r>
              <w:rPr>
                <w:rFonts w:hint="eastAsia" w:ascii="宋体" w:hAnsi="宋体"/>
                <w:szCs w:val="21"/>
                <w:lang w:val="en-US" w:eastAsia="zh-CN"/>
              </w:rPr>
              <w:t>E/S6.1.3、9.1.2</w:t>
            </w:r>
          </w:p>
        </w:tc>
        <w:tc>
          <w:tcPr>
            <w:tcW w:w="425"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外包的识别</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不可接受风险（OHSMS）</w:t>
            </w:r>
          </w:p>
          <w:p>
            <w:pPr>
              <w:spacing w:line="400" w:lineRule="exact"/>
              <w:rPr>
                <w:rFonts w:ascii="宋体" w:hAnsi="宋体"/>
                <w:szCs w:val="21"/>
              </w:rPr>
            </w:pPr>
          </w:p>
          <w:p>
            <w:pPr>
              <w:spacing w:line="400" w:lineRule="exact"/>
              <w:rPr>
                <w:rFonts w:ascii="宋体" w:hAnsi="宋体"/>
                <w:szCs w:val="21"/>
              </w:rPr>
            </w:pPr>
            <w:r>
              <w:rPr>
                <w:rFonts w:hint="eastAsia"/>
                <w:szCs w:val="21"/>
              </w:rPr>
              <w:t>应急管理</w:t>
            </w:r>
          </w:p>
        </w:tc>
        <w:tc>
          <w:tcPr>
            <w:tcW w:w="5411" w:type="dxa"/>
          </w:tcPr>
          <w:p>
            <w:pPr>
              <w:spacing w:line="360" w:lineRule="auto"/>
              <w:rPr>
                <w:rFonts w:hint="eastAsia"/>
                <w:szCs w:val="21"/>
                <w:highlight w:val="none"/>
              </w:rPr>
            </w:pPr>
            <w:r>
              <w:rPr>
                <w:rFonts w:hint="eastAsia"/>
                <w:szCs w:val="21"/>
                <w:highlight w:val="none"/>
              </w:rPr>
              <w:t>软件应用开发流程图：</w:t>
            </w:r>
          </w:p>
          <w:p>
            <w:pPr>
              <w:spacing w:line="360" w:lineRule="auto"/>
              <w:rPr>
                <w:rFonts w:hint="eastAsia"/>
                <w:szCs w:val="21"/>
                <w:highlight w:val="none"/>
                <w:lang w:val="en-US" w:eastAsia="zh-CN"/>
              </w:rPr>
            </w:pPr>
            <w:r>
              <w:rPr>
                <w:rFonts w:hint="eastAsia"/>
                <w:szCs w:val="21"/>
                <w:highlight w:val="none"/>
                <w:lang w:eastAsia="zh-CN"/>
              </w:rPr>
              <w:t>需求分析</w:t>
            </w:r>
            <w:r>
              <w:rPr>
                <w:rFonts w:hint="eastAsia"/>
                <w:szCs w:val="21"/>
                <w:highlight w:val="none"/>
                <w:lang w:val="en-US" w:eastAsia="zh-CN"/>
              </w:rPr>
              <w:t>-概要设计-详细设计-编码-测试-软件交付-验收-维护。</w:t>
            </w:r>
          </w:p>
          <w:p>
            <w:pPr>
              <w:rPr>
                <w:rFonts w:hint="eastAsia" w:ascii="宋体" w:hAnsi="宋体"/>
                <w:szCs w:val="21"/>
                <w:highlight w:val="none"/>
              </w:rPr>
            </w:pPr>
            <w:r>
              <w:rPr>
                <w:rFonts w:hint="eastAsia"/>
                <w:szCs w:val="21"/>
                <w:highlight w:val="none"/>
                <w:lang w:val="en-US" w:eastAsia="zh-CN"/>
              </w:rPr>
              <w:t>设计</w:t>
            </w:r>
            <w:r>
              <w:rPr>
                <w:rFonts w:hint="eastAsia" w:ascii="宋体" w:hAnsi="宋体"/>
                <w:szCs w:val="21"/>
                <w:highlight w:val="none"/>
              </w:rPr>
              <w:t>为关键过程。</w:t>
            </w:r>
          </w:p>
          <w:p>
            <w:pPr>
              <w:rPr>
                <w:rFonts w:hint="eastAsia" w:ascii="宋体" w:hAnsi="宋体"/>
                <w:szCs w:val="21"/>
                <w:highlight w:val="none"/>
              </w:rPr>
            </w:pPr>
          </w:p>
          <w:p>
            <w:pPr>
              <w:tabs>
                <w:tab w:val="left" w:pos="195"/>
                <w:tab w:val="center" w:pos="4620"/>
              </w:tabs>
              <w:spacing w:line="38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生产流程图：</w:t>
            </w:r>
          </w:p>
          <w:p>
            <w:pPr>
              <w:tabs>
                <w:tab w:val="left" w:pos="195"/>
                <w:tab w:val="center" w:pos="4620"/>
              </w:tabs>
              <w:spacing w:line="380" w:lineRule="exact"/>
              <w:ind w:firstLine="210" w:firstLineChars="10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lang w:val="en-US" w:eastAsia="zh-CN"/>
              </w:rPr>
              <w:t>根据市场需求或客户要求-----下达开发任务书----编制开发计划----开发输入----开发评审----开发验证----开发输出----开发确认----备料---组装---检验----交付。</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组装、检验</w:t>
            </w:r>
            <w:r>
              <w:rPr>
                <w:rFonts w:hint="eastAsia" w:asciiTheme="minorEastAsia" w:hAnsiTheme="minorEastAsia" w:eastAsiaTheme="minorEastAsia" w:cstheme="minorEastAsia"/>
                <w:sz w:val="21"/>
                <w:szCs w:val="21"/>
                <w:highlight w:val="none"/>
              </w:rPr>
              <w:t>为关键过程。</w:t>
            </w:r>
          </w:p>
          <w:p>
            <w:pPr>
              <w:rPr>
                <w:rFonts w:hint="eastAsia"/>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销售流程图:</w:t>
            </w:r>
          </w:p>
          <w:p>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投标/业务洽谈→签订合同→采购→物资检验→交付。</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销售为关键过程。</w:t>
            </w:r>
          </w:p>
          <w:p>
            <w:pPr>
              <w:rPr>
                <w:rFonts w:ascii="宋体" w:hAnsi="宋体"/>
                <w:szCs w:val="21"/>
              </w:rPr>
            </w:pPr>
          </w:p>
          <w:p>
            <w:pPr>
              <w:pStyle w:val="13"/>
              <w:tabs>
                <w:tab w:val="center" w:pos="3169"/>
              </w:tabs>
              <w:spacing w:line="400" w:lineRule="exact"/>
              <w:ind w:firstLine="0" w:firstLineChars="0"/>
              <w:jc w:val="left"/>
              <w:rPr>
                <w:rFonts w:hint="eastAsia" w:ascii="宋体" w:hAnsi="宋体"/>
                <w:szCs w:val="21"/>
              </w:rPr>
            </w:pPr>
            <w:r>
              <w:rPr>
                <w:rFonts w:hint="eastAsia" w:ascii="宋体" w:hAnsi="宋体"/>
                <w:szCs w:val="21"/>
              </w:rPr>
              <w:t>无</w:t>
            </w:r>
          </w:p>
          <w:p>
            <w:pPr>
              <w:pStyle w:val="13"/>
              <w:tabs>
                <w:tab w:val="center" w:pos="3169"/>
              </w:tabs>
              <w:spacing w:line="400" w:lineRule="exact"/>
              <w:ind w:firstLine="0" w:firstLineChars="0"/>
              <w:jc w:val="left"/>
              <w:rPr>
                <w:rFonts w:hint="eastAsia" w:ascii="宋体" w:hAnsi="宋体"/>
                <w:szCs w:val="21"/>
              </w:rPr>
            </w:pPr>
          </w:p>
          <w:p>
            <w:pPr>
              <w:pStyle w:val="13"/>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1）潜在火灾；2）固废的排放</w:t>
            </w:r>
            <w:r>
              <w:rPr>
                <w:rFonts w:hint="eastAsia" w:ascii="宋体" w:hAnsi="宋体" w:cs="宋体"/>
                <w:szCs w:val="21"/>
                <w:highlight w:val="none"/>
                <w:lang w:eastAsia="zh-CN"/>
              </w:rPr>
              <w:t>；</w:t>
            </w:r>
            <w:r>
              <w:rPr>
                <w:rFonts w:hint="eastAsia" w:ascii="宋体" w:hAnsi="宋体" w:cs="宋体"/>
                <w:szCs w:val="21"/>
                <w:highlight w:val="none"/>
                <w:lang w:val="en-US" w:eastAsia="zh-CN"/>
              </w:rPr>
              <w:t>3）噪声的排放</w:t>
            </w:r>
            <w:r>
              <w:rPr>
                <w:rFonts w:hint="eastAsia" w:ascii="宋体" w:hAnsi="宋体" w:cs="宋体"/>
                <w:szCs w:val="21"/>
                <w:highlight w:val="none"/>
              </w:rPr>
              <w:t>。</w:t>
            </w:r>
          </w:p>
          <w:p>
            <w:pPr>
              <w:pStyle w:val="13"/>
              <w:tabs>
                <w:tab w:val="center" w:pos="3169"/>
              </w:tabs>
              <w:spacing w:line="400" w:lineRule="exact"/>
              <w:ind w:firstLine="0" w:firstLineChars="0"/>
              <w:jc w:val="left"/>
              <w:rPr>
                <w:rFonts w:ascii="宋体" w:hAnsi="宋体" w:cs="宋体"/>
                <w:szCs w:val="21"/>
                <w:highlight w:val="none"/>
              </w:rPr>
            </w:pPr>
          </w:p>
          <w:p>
            <w:pPr>
              <w:numPr>
                <w:ilvl w:val="0"/>
                <w:numId w:val="1"/>
              </w:numPr>
              <w:tabs>
                <w:tab w:val="left" w:pos="1080"/>
              </w:tabs>
              <w:spacing w:line="400" w:lineRule="exact"/>
              <w:rPr>
                <w:szCs w:val="21"/>
                <w:highlight w:val="none"/>
              </w:rPr>
            </w:pPr>
            <w:r>
              <w:rPr>
                <w:rFonts w:hint="eastAsia"/>
                <w:szCs w:val="21"/>
                <w:highlight w:val="none"/>
              </w:rPr>
              <w:t>火灾；</w:t>
            </w:r>
            <w:r>
              <w:rPr>
                <w:rFonts w:hint="eastAsia" w:eastAsia="宋体"/>
                <w:szCs w:val="21"/>
                <w:highlight w:val="none"/>
                <w:lang w:val="en-US" w:eastAsia="zh-CN"/>
              </w:rPr>
              <w:t>2）触电；</w:t>
            </w:r>
            <w:r>
              <w:rPr>
                <w:rFonts w:hint="eastAsia"/>
                <w:szCs w:val="21"/>
                <w:highlight w:val="none"/>
                <w:lang w:val="en-US" w:eastAsia="zh-CN"/>
              </w:rPr>
              <w:t>3）意外伤害（机械伤害、碰伤、中暑、交通事故）</w:t>
            </w:r>
            <w:r>
              <w:rPr>
                <w:rFonts w:hint="eastAsia"/>
                <w:szCs w:val="21"/>
                <w:highlight w:val="none"/>
              </w:rPr>
              <w:t>。</w:t>
            </w:r>
          </w:p>
          <w:p>
            <w:pPr>
              <w:tabs>
                <w:tab w:val="left" w:pos="1080"/>
              </w:tabs>
              <w:spacing w:line="400" w:lineRule="exact"/>
              <w:rPr>
                <w:rFonts w:ascii="宋体" w:hAnsi="宋体"/>
                <w:szCs w:val="21"/>
              </w:rPr>
            </w:pPr>
          </w:p>
          <w:p>
            <w:pPr>
              <w:tabs>
                <w:tab w:val="left" w:pos="1080"/>
              </w:tabs>
              <w:spacing w:line="400" w:lineRule="exact"/>
              <w:rPr>
                <w:szCs w:val="21"/>
              </w:rPr>
            </w:pPr>
            <w:r>
              <w:rPr>
                <w:rFonts w:hint="eastAsia" w:ascii="宋体" w:hAnsi="宋体"/>
                <w:szCs w:val="21"/>
                <w:highlight w:val="none"/>
              </w:rPr>
              <w:t>公司拟定有</w:t>
            </w:r>
            <w:r>
              <w:rPr>
                <w:rFonts w:hint="eastAsia" w:ascii="宋体" w:hAnsi="宋体" w:cs="宋体"/>
                <w:szCs w:val="21"/>
                <w:highlight w:val="none"/>
              </w:rPr>
              <w:t>《消防应急预案》</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日进行了火灾应急预案演练。</w:t>
            </w:r>
          </w:p>
        </w:tc>
        <w:tc>
          <w:tcPr>
            <w:tcW w:w="1109"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E/S8.1、8.2、6.1.2</w:t>
            </w:r>
          </w:p>
        </w:tc>
        <w:tc>
          <w:tcPr>
            <w:tcW w:w="425"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u w:val="single"/>
              </w:rPr>
            </w:pP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5411" w:type="dxa"/>
          </w:tcPr>
          <w:p>
            <w:pPr>
              <w:spacing w:line="400" w:lineRule="exact"/>
              <w:rPr>
                <w:rFonts w:ascii="宋体" w:hAnsi="宋体"/>
                <w:szCs w:val="21"/>
              </w:rPr>
            </w:pPr>
            <w:r>
              <w:rPr>
                <w:rFonts w:hint="eastAsia" w:ascii="宋体" w:hAnsi="宋体"/>
                <w:szCs w:val="21"/>
                <w:lang w:val="en-US" w:eastAsia="zh-CN"/>
              </w:rPr>
              <w:t>38</w:t>
            </w:r>
            <w:r>
              <w:rPr>
                <w:rFonts w:hint="eastAsia" w:ascii="宋体" w:hAnsi="宋体"/>
                <w:szCs w:val="21"/>
              </w:rPr>
              <w:t>人</w:t>
            </w:r>
          </w:p>
          <w:p>
            <w:pPr>
              <w:spacing w:line="400" w:lineRule="exact"/>
              <w:rPr>
                <w:rFonts w:ascii="宋体" w:hAnsi="宋体"/>
                <w:szCs w:val="21"/>
              </w:rPr>
            </w:pPr>
          </w:p>
          <w:p>
            <w:pPr>
              <w:spacing w:line="400" w:lineRule="exact"/>
              <w:rPr>
                <w:szCs w:val="21"/>
              </w:rPr>
            </w:pPr>
            <w:r>
              <w:rPr>
                <w:rFonts w:hint="eastAsia"/>
                <w:szCs w:val="21"/>
              </w:rPr>
              <w:t>研发人员</w:t>
            </w:r>
          </w:p>
          <w:p>
            <w:pPr>
              <w:spacing w:line="400" w:lineRule="exact"/>
              <w:rPr>
                <w:rFonts w:ascii="宋体" w:hAnsi="宋体"/>
                <w:szCs w:val="21"/>
              </w:rPr>
            </w:pPr>
            <w:r>
              <w:rPr>
                <w:rFonts w:hint="eastAsia" w:ascii="宋体" w:hAnsi="宋体"/>
                <w:szCs w:val="21"/>
              </w:rPr>
              <w:t>无</w:t>
            </w:r>
          </w:p>
        </w:tc>
        <w:tc>
          <w:tcPr>
            <w:tcW w:w="1109"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E/S：7.2</w:t>
            </w:r>
          </w:p>
        </w:tc>
        <w:tc>
          <w:tcPr>
            <w:tcW w:w="425"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hint="eastAsia" w:ascii="宋体" w:hAnsi="宋体"/>
                <w:szCs w:val="21"/>
              </w:rPr>
            </w:pPr>
            <w:r>
              <w:rPr>
                <w:rFonts w:hint="eastAsia" w:ascii="宋体" w:hAnsi="宋体"/>
                <w:szCs w:val="21"/>
              </w:rPr>
              <w:t>主要生产设备</w:t>
            </w:r>
          </w:p>
          <w:p>
            <w:pPr>
              <w:spacing w:line="400" w:lineRule="exact"/>
              <w:rPr>
                <w:rFonts w:hint="eastAsia" w:ascii="宋体" w:hAnsi="宋体"/>
                <w:szCs w:val="21"/>
              </w:rPr>
            </w:pPr>
          </w:p>
          <w:p>
            <w:pPr>
              <w:spacing w:line="400" w:lineRule="exact"/>
              <w:rPr>
                <w:rFonts w:hint="eastAsia" w:ascii="宋体" w:hAnsi="宋体"/>
                <w:szCs w:val="21"/>
                <w:lang w:eastAsia="zh-CN"/>
              </w:rPr>
            </w:pPr>
            <w:r>
              <w:rPr>
                <w:rFonts w:hint="eastAsia" w:ascii="宋体" w:hAnsi="宋体"/>
                <w:szCs w:val="21"/>
                <w:lang w:eastAsia="zh-CN"/>
              </w:rPr>
              <w:t>库房</w:t>
            </w:r>
          </w:p>
          <w:p>
            <w:pPr>
              <w:spacing w:line="400" w:lineRule="exact"/>
              <w:rPr>
                <w:rFonts w:hint="eastAsia" w:ascii="宋体" w:hAnsi="宋体"/>
                <w:szCs w:val="21"/>
                <w:lang w:eastAsia="zh-CN"/>
              </w:rPr>
            </w:pPr>
          </w:p>
          <w:p>
            <w:pPr>
              <w:spacing w:line="400" w:lineRule="exact"/>
              <w:rPr>
                <w:rFonts w:ascii="宋体" w:hAnsi="宋体"/>
                <w:szCs w:val="21"/>
              </w:rPr>
            </w:pPr>
            <w:r>
              <w:rPr>
                <w:rFonts w:hint="eastAsia" w:ascii="宋体" w:hAnsi="宋体"/>
                <w:szCs w:val="21"/>
              </w:rPr>
              <w:t>特种设备</w:t>
            </w:r>
          </w:p>
          <w:p>
            <w:pPr>
              <w:spacing w:line="400" w:lineRule="exact"/>
              <w:rPr>
                <w:rFonts w:ascii="宋体" w:hAnsi="宋体"/>
                <w:szCs w:val="21"/>
              </w:rPr>
            </w:pPr>
            <w:r>
              <w:rPr>
                <w:rFonts w:hint="eastAsia" w:ascii="宋体" w:hAnsi="宋体"/>
                <w:szCs w:val="21"/>
              </w:rPr>
              <w:t>环保设施（EMS）</w:t>
            </w: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环保监测设备（EMS）</w:t>
            </w:r>
          </w:p>
          <w:p>
            <w:pPr>
              <w:spacing w:line="400" w:lineRule="exact"/>
              <w:rPr>
                <w:rFonts w:ascii="宋体" w:hAnsi="宋体"/>
                <w:szCs w:val="21"/>
              </w:rPr>
            </w:pPr>
            <w:r>
              <w:rPr>
                <w:rFonts w:hint="eastAsia" w:ascii="宋体" w:hAnsi="宋体"/>
                <w:szCs w:val="21"/>
              </w:rPr>
              <w:t>安全监测设备（OHSMS）</w:t>
            </w:r>
          </w:p>
        </w:tc>
        <w:tc>
          <w:tcPr>
            <w:tcW w:w="5411" w:type="dxa"/>
          </w:tcPr>
          <w:p>
            <w:pPr>
              <w:spacing w:line="400" w:lineRule="exact"/>
              <w:rPr>
                <w:szCs w:val="21"/>
              </w:rPr>
            </w:pPr>
            <w:r>
              <w:rPr>
                <w:rFonts w:hint="eastAsia" w:ascii="宋体" w:hAnsi="宋体" w:eastAsia="宋体" w:cs="宋体"/>
                <w:szCs w:val="21"/>
                <w:lang w:val="en-US" w:eastAsia="zh-CN"/>
              </w:rPr>
              <w:t>贴片机、稳压电源、热风枪、</w:t>
            </w:r>
            <w:r>
              <w:rPr>
                <w:rFonts w:hint="eastAsia" w:ascii="宋体" w:hAnsi="宋体" w:eastAsia="宋体" w:cs="宋体"/>
                <w:szCs w:val="21"/>
              </w:rPr>
              <w:t>电脑及办公设备</w:t>
            </w:r>
            <w:r>
              <w:rPr>
                <w:rFonts w:hint="eastAsia" w:ascii="宋体" w:hAnsi="宋体" w:cs="宋体"/>
                <w:szCs w:val="21"/>
              </w:rPr>
              <w:t>等</w:t>
            </w:r>
          </w:p>
          <w:p>
            <w:pPr>
              <w:spacing w:line="400" w:lineRule="exact"/>
              <w:rPr>
                <w:rFonts w:hint="eastAsia"/>
                <w:szCs w:val="21"/>
                <w:highlight w:val="green"/>
                <w:lang w:eastAsia="zh-CN"/>
              </w:rPr>
            </w:pPr>
          </w:p>
          <w:p>
            <w:pPr>
              <w:spacing w:line="400" w:lineRule="exact"/>
              <w:rPr>
                <w:rFonts w:hint="default" w:eastAsia="宋体"/>
                <w:szCs w:val="21"/>
                <w:highlight w:val="none"/>
                <w:lang w:val="en-US" w:eastAsia="zh-CN"/>
              </w:rPr>
            </w:pPr>
            <w:r>
              <w:rPr>
                <w:rFonts w:hint="eastAsia"/>
                <w:szCs w:val="21"/>
                <w:highlight w:val="none"/>
                <w:lang w:eastAsia="zh-CN"/>
              </w:rPr>
              <w:t>设有</w:t>
            </w:r>
            <w:r>
              <w:rPr>
                <w:rFonts w:hint="eastAsia"/>
                <w:szCs w:val="21"/>
                <w:highlight w:val="none"/>
                <w:lang w:val="en-US" w:eastAsia="zh-CN"/>
              </w:rPr>
              <w:t>25平方米库房1个，主要用于产品、劳保用品的存放。</w:t>
            </w:r>
          </w:p>
          <w:p>
            <w:pPr>
              <w:spacing w:line="400" w:lineRule="exact"/>
              <w:rPr>
                <w:rFonts w:hint="eastAsia"/>
                <w:szCs w:val="21"/>
              </w:rPr>
            </w:pPr>
            <w:r>
              <w:rPr>
                <w:rFonts w:hint="eastAsia"/>
                <w:szCs w:val="21"/>
              </w:rPr>
              <w:t>无</w:t>
            </w:r>
          </w:p>
          <w:p>
            <w:pPr>
              <w:spacing w:line="400" w:lineRule="exact"/>
              <w:rPr>
                <w:szCs w:val="21"/>
              </w:rPr>
            </w:pPr>
            <w:r>
              <w:rPr>
                <w:rFonts w:hint="eastAsia"/>
                <w:szCs w:val="21"/>
              </w:rPr>
              <w:t>消防栓、灭火器等。</w:t>
            </w:r>
          </w:p>
          <w:p>
            <w:pPr>
              <w:spacing w:line="400" w:lineRule="exact"/>
              <w:rPr>
                <w:szCs w:val="21"/>
              </w:rPr>
            </w:pPr>
            <w:r>
              <w:rPr>
                <w:rFonts w:hint="eastAsia"/>
                <w:szCs w:val="21"/>
              </w:rPr>
              <w:t>配电箱、空开等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bookmarkStart w:id="1" w:name="_GoBack"/>
            <w:bookmarkEnd w:id="1"/>
            <w:r>
              <w:rPr>
                <w:rFonts w:hint="eastAsia" w:ascii="宋体" w:hAnsi="宋体"/>
                <w:szCs w:val="21"/>
              </w:rPr>
              <w:t>无。</w:t>
            </w:r>
          </w:p>
        </w:tc>
        <w:tc>
          <w:tcPr>
            <w:tcW w:w="1109" w:type="dxa"/>
            <w:vAlign w:val="top"/>
          </w:tcPr>
          <w:p>
            <w:pPr>
              <w:spacing w:line="440" w:lineRule="exact"/>
              <w:jc w:val="left"/>
              <w:rPr>
                <w:rFonts w:hint="default" w:ascii="宋体" w:hAnsi="宋体" w:eastAsia="宋体" w:cs="Times New Roman"/>
                <w:kern w:val="2"/>
                <w:sz w:val="21"/>
                <w:szCs w:val="21"/>
                <w:lang w:val="en-US" w:eastAsia="zh-CN" w:bidi="ar-SA"/>
              </w:rPr>
            </w:pPr>
            <w:r>
              <w:rPr>
                <w:rFonts w:hint="eastAsia" w:ascii="宋体" w:hAnsi="宋体"/>
                <w:szCs w:val="21"/>
                <w:lang w:val="en-US" w:eastAsia="zh-CN"/>
              </w:rPr>
              <w:t>E/S：7:1</w:t>
            </w:r>
          </w:p>
        </w:tc>
        <w:tc>
          <w:tcPr>
            <w:tcW w:w="425"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5411" w:type="dxa"/>
          </w:tcPr>
          <w:p>
            <w:pPr>
              <w:spacing w:line="400" w:lineRule="exact"/>
              <w:rPr>
                <w:szCs w:val="21"/>
                <w:highlight w:val="none"/>
              </w:rPr>
            </w:pPr>
            <w:r>
              <w:rPr>
                <w:rFonts w:hint="eastAsia"/>
                <w:szCs w:val="21"/>
                <w:highlight w:val="none"/>
              </w:rPr>
              <w:t>在</w:t>
            </w:r>
            <w:r>
              <w:rPr>
                <w:rFonts w:hint="eastAsia"/>
                <w:szCs w:val="21"/>
                <w:highlight w:val="none"/>
                <w:lang w:eastAsia="zh-CN"/>
              </w:rPr>
              <w:t>科技</w:t>
            </w:r>
            <w:r>
              <w:t>孵化园</w:t>
            </w:r>
            <w:r>
              <w:rPr>
                <w:rFonts w:hint="eastAsia"/>
                <w:lang w:eastAsia="zh-CN"/>
              </w:rPr>
              <w:t>区</w:t>
            </w:r>
            <w:r>
              <w:rPr>
                <w:rFonts w:hint="eastAsia"/>
                <w:szCs w:val="21"/>
                <w:highlight w:val="none"/>
              </w:rPr>
              <w:t>内</w:t>
            </w:r>
          </w:p>
          <w:p>
            <w:pPr>
              <w:spacing w:line="400" w:lineRule="exact"/>
              <w:rPr>
                <w:rFonts w:ascii="宋体" w:hAnsi="宋体"/>
                <w:szCs w:val="21"/>
              </w:rPr>
            </w:pPr>
          </w:p>
          <w:p>
            <w:pPr>
              <w:spacing w:line="400" w:lineRule="exact"/>
              <w:rPr>
                <w:rFonts w:ascii="宋体" w:hAnsi="宋体"/>
                <w:szCs w:val="21"/>
              </w:rPr>
            </w:pP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高处作业、高粉尘作业、机械加工、压力容器操作、有毒化学品车间、危险化学品仓库和储存罐区等高风险作业场所</w:t>
            </w:r>
          </w:p>
        </w:tc>
        <w:tc>
          <w:tcPr>
            <w:tcW w:w="5411" w:type="dxa"/>
          </w:tcPr>
          <w:p>
            <w:pPr>
              <w:spacing w:line="400" w:lineRule="exact"/>
              <w:rPr>
                <w:rFonts w:ascii="宋体" w:hAnsi="宋体"/>
                <w:szCs w:val="21"/>
              </w:rPr>
            </w:pPr>
            <w:r>
              <w:rPr>
                <w:rFonts w:hint="eastAsia"/>
                <w:szCs w:val="21"/>
              </w:rPr>
              <w:t>无高风险作业场所</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5411"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109" w:type="dxa"/>
            <w:vAlign w:val="top"/>
          </w:tcPr>
          <w:p>
            <w:pPr>
              <w:spacing w:line="440" w:lineRule="exact"/>
              <w:jc w:val="center"/>
              <w:rPr>
                <w:rFonts w:ascii="宋体" w:hAnsi="宋体" w:eastAsia="宋体" w:cs="Times New Roman"/>
                <w:kern w:val="2"/>
                <w:sz w:val="21"/>
                <w:szCs w:val="21"/>
                <w:lang w:val="en-US" w:eastAsia="zh-CN" w:bidi="ar-SA"/>
              </w:rPr>
            </w:pPr>
          </w:p>
        </w:tc>
        <w:tc>
          <w:tcPr>
            <w:tcW w:w="425"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符合</w:t>
            </w: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3"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3MvW0AQAAQAMAAA4AAABkcnMvZTJvRG9jLnhtbK1SS44T&#10;MRDdI3EHy3vipEOPQiudkWAUNgiQZjiA47a7LfmnsifduQDcgBUb9pwr56DsZMIws0P0wm3X51W9&#10;V7W+nqwhewlRe9fSxWxOiXTCd9r1Lf1yt321oiQm7jpuvJMtPchIrzcvX6zH0MjKD950EgiCuNiM&#10;oaVDSqFhLIpBWh5nPkiHTuXB8oRP6FkHfER0a1g1n1+x0UMXwAsZI1pvTk66KfhKSZE+KRVlIqal&#10;2FsqJ5Rzl0+2WfOmBx4GLc5t8H/ownLtsOgF6oYnTu5BP4OyWoCPXqWZ8JZ5pbSQhQOyWcyfsLkd&#10;eJCFC4oTw0Wm+P9gxcf9ZyC6a+mSEsctjuj4/dvxx6/jz69kkeUZQ2ww6jZgXJre+gnH/GCPaMys&#10;JwU2/5EPQT8KfbiIK6dEBBqr5WpVLWtKBPqq+qp+XdRnf7IDxPReekvypaWAwyua8v2HmLATDH0I&#10;ycWiN7rbamPKA/rdOwNkz3HQ2/LlJjHlrzDjyNjSN3VVF2Tnc/4pzriMI8vOnOtl6ieK+Zam3XTW&#10;Y+e7A8pxH0D3A7ZaBGE5CMdUqp5XKu/B4zfeHy/+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f7cy9b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888DF"/>
    <w:multiLevelType w:val="singleLevel"/>
    <w:tmpl w:val="AE0888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6E21"/>
    <w:rsid w:val="0003373A"/>
    <w:rsid w:val="0003666F"/>
    <w:rsid w:val="00084386"/>
    <w:rsid w:val="000C0711"/>
    <w:rsid w:val="00105A91"/>
    <w:rsid w:val="001A2D7F"/>
    <w:rsid w:val="001F5FC8"/>
    <w:rsid w:val="002460A4"/>
    <w:rsid w:val="002B6B8C"/>
    <w:rsid w:val="002C6D5E"/>
    <w:rsid w:val="00337922"/>
    <w:rsid w:val="00340867"/>
    <w:rsid w:val="00380837"/>
    <w:rsid w:val="0039337B"/>
    <w:rsid w:val="003B2665"/>
    <w:rsid w:val="003C6DA1"/>
    <w:rsid w:val="003D0050"/>
    <w:rsid w:val="003E4918"/>
    <w:rsid w:val="003F3AF2"/>
    <w:rsid w:val="00405E02"/>
    <w:rsid w:val="00407627"/>
    <w:rsid w:val="00410914"/>
    <w:rsid w:val="004814B4"/>
    <w:rsid w:val="004E2167"/>
    <w:rsid w:val="00536930"/>
    <w:rsid w:val="00564E53"/>
    <w:rsid w:val="005F08EC"/>
    <w:rsid w:val="00603BE2"/>
    <w:rsid w:val="00624BCF"/>
    <w:rsid w:val="00631E3F"/>
    <w:rsid w:val="00644FE2"/>
    <w:rsid w:val="0067640C"/>
    <w:rsid w:val="006C3C06"/>
    <w:rsid w:val="006E678B"/>
    <w:rsid w:val="006F08B1"/>
    <w:rsid w:val="007345CC"/>
    <w:rsid w:val="0075447B"/>
    <w:rsid w:val="007757F3"/>
    <w:rsid w:val="007851D6"/>
    <w:rsid w:val="007D1240"/>
    <w:rsid w:val="007E1C3A"/>
    <w:rsid w:val="007E6AEB"/>
    <w:rsid w:val="00824194"/>
    <w:rsid w:val="00871C15"/>
    <w:rsid w:val="008973EE"/>
    <w:rsid w:val="008C7D6A"/>
    <w:rsid w:val="008D6159"/>
    <w:rsid w:val="00962F40"/>
    <w:rsid w:val="00971600"/>
    <w:rsid w:val="009973B4"/>
    <w:rsid w:val="009A3B9B"/>
    <w:rsid w:val="009F7EED"/>
    <w:rsid w:val="00A255F8"/>
    <w:rsid w:val="00A608A8"/>
    <w:rsid w:val="00AA60F8"/>
    <w:rsid w:val="00AB0AAF"/>
    <w:rsid w:val="00AC3A96"/>
    <w:rsid w:val="00AE222A"/>
    <w:rsid w:val="00AF0AAB"/>
    <w:rsid w:val="00B258C1"/>
    <w:rsid w:val="00B2778C"/>
    <w:rsid w:val="00B40DF4"/>
    <w:rsid w:val="00BA70EA"/>
    <w:rsid w:val="00BC384E"/>
    <w:rsid w:val="00BF597E"/>
    <w:rsid w:val="00C51A36"/>
    <w:rsid w:val="00C55228"/>
    <w:rsid w:val="00C601C1"/>
    <w:rsid w:val="00CE315A"/>
    <w:rsid w:val="00D06F59"/>
    <w:rsid w:val="00D8388C"/>
    <w:rsid w:val="00D93A54"/>
    <w:rsid w:val="00E250F2"/>
    <w:rsid w:val="00E30B07"/>
    <w:rsid w:val="00E74966"/>
    <w:rsid w:val="00EB0164"/>
    <w:rsid w:val="00ED0F62"/>
    <w:rsid w:val="00F71ED3"/>
    <w:rsid w:val="00F86205"/>
    <w:rsid w:val="00F92A10"/>
    <w:rsid w:val="00FD77A8"/>
    <w:rsid w:val="01FD2F8F"/>
    <w:rsid w:val="02880E4E"/>
    <w:rsid w:val="02914DB0"/>
    <w:rsid w:val="02C268A7"/>
    <w:rsid w:val="02FE79AF"/>
    <w:rsid w:val="03C03F77"/>
    <w:rsid w:val="04D35012"/>
    <w:rsid w:val="08A46BAD"/>
    <w:rsid w:val="09B92F09"/>
    <w:rsid w:val="09F945D6"/>
    <w:rsid w:val="0A122492"/>
    <w:rsid w:val="0A2F398F"/>
    <w:rsid w:val="0AA54F4C"/>
    <w:rsid w:val="0BD53640"/>
    <w:rsid w:val="0C776FC9"/>
    <w:rsid w:val="0CE24FBA"/>
    <w:rsid w:val="0CF13D82"/>
    <w:rsid w:val="0D1C33EC"/>
    <w:rsid w:val="0D714F8D"/>
    <w:rsid w:val="0E25209A"/>
    <w:rsid w:val="0E4038B6"/>
    <w:rsid w:val="0F083958"/>
    <w:rsid w:val="0FB223B2"/>
    <w:rsid w:val="107519AD"/>
    <w:rsid w:val="108219C2"/>
    <w:rsid w:val="10B15952"/>
    <w:rsid w:val="10BA3FA3"/>
    <w:rsid w:val="10C94B9D"/>
    <w:rsid w:val="13184D41"/>
    <w:rsid w:val="132D5537"/>
    <w:rsid w:val="13F86CC6"/>
    <w:rsid w:val="14DB0526"/>
    <w:rsid w:val="173A44ED"/>
    <w:rsid w:val="18F3496B"/>
    <w:rsid w:val="194E5460"/>
    <w:rsid w:val="19C315EE"/>
    <w:rsid w:val="1A3165D0"/>
    <w:rsid w:val="1ADB1E14"/>
    <w:rsid w:val="1B0A383C"/>
    <w:rsid w:val="1B883AC7"/>
    <w:rsid w:val="1C6973E4"/>
    <w:rsid w:val="1C9555C2"/>
    <w:rsid w:val="1D5C04E8"/>
    <w:rsid w:val="1F420E47"/>
    <w:rsid w:val="1F4A6CA3"/>
    <w:rsid w:val="20205300"/>
    <w:rsid w:val="20741E17"/>
    <w:rsid w:val="23CF173A"/>
    <w:rsid w:val="247567D5"/>
    <w:rsid w:val="25820103"/>
    <w:rsid w:val="2699614F"/>
    <w:rsid w:val="26DB23EF"/>
    <w:rsid w:val="27845C79"/>
    <w:rsid w:val="27912CE0"/>
    <w:rsid w:val="27B82279"/>
    <w:rsid w:val="27FE25B6"/>
    <w:rsid w:val="284A3DE3"/>
    <w:rsid w:val="285C040E"/>
    <w:rsid w:val="288A6EBF"/>
    <w:rsid w:val="28951D8D"/>
    <w:rsid w:val="291742A9"/>
    <w:rsid w:val="2A4F7506"/>
    <w:rsid w:val="2AE23791"/>
    <w:rsid w:val="2D453746"/>
    <w:rsid w:val="2D89725D"/>
    <w:rsid w:val="2E337362"/>
    <w:rsid w:val="2E8F3862"/>
    <w:rsid w:val="2ECF72A4"/>
    <w:rsid w:val="2EF57FB6"/>
    <w:rsid w:val="2F09530F"/>
    <w:rsid w:val="32AF550F"/>
    <w:rsid w:val="32E72F3A"/>
    <w:rsid w:val="32F340D2"/>
    <w:rsid w:val="33304668"/>
    <w:rsid w:val="33EE5BC9"/>
    <w:rsid w:val="34071B60"/>
    <w:rsid w:val="346041F3"/>
    <w:rsid w:val="34687CD4"/>
    <w:rsid w:val="348A1928"/>
    <w:rsid w:val="34B3178E"/>
    <w:rsid w:val="34FB51F4"/>
    <w:rsid w:val="350E46E6"/>
    <w:rsid w:val="35424DD4"/>
    <w:rsid w:val="36513486"/>
    <w:rsid w:val="36BA30AC"/>
    <w:rsid w:val="36EF03C4"/>
    <w:rsid w:val="37F37F6B"/>
    <w:rsid w:val="3A0069CD"/>
    <w:rsid w:val="3C4305A7"/>
    <w:rsid w:val="3CFE2C36"/>
    <w:rsid w:val="3D31019E"/>
    <w:rsid w:val="3DD61C5E"/>
    <w:rsid w:val="3E4A2DC0"/>
    <w:rsid w:val="3F0653EB"/>
    <w:rsid w:val="3F480834"/>
    <w:rsid w:val="3F60400C"/>
    <w:rsid w:val="413661E7"/>
    <w:rsid w:val="42A55529"/>
    <w:rsid w:val="434A3A70"/>
    <w:rsid w:val="434F5847"/>
    <w:rsid w:val="435F074F"/>
    <w:rsid w:val="4389789A"/>
    <w:rsid w:val="438E028A"/>
    <w:rsid w:val="43CC2255"/>
    <w:rsid w:val="4527011F"/>
    <w:rsid w:val="45517238"/>
    <w:rsid w:val="45551472"/>
    <w:rsid w:val="4564559E"/>
    <w:rsid w:val="459668DE"/>
    <w:rsid w:val="45DA5BCB"/>
    <w:rsid w:val="45F23538"/>
    <w:rsid w:val="464A3B3A"/>
    <w:rsid w:val="470432A0"/>
    <w:rsid w:val="474A0EE4"/>
    <w:rsid w:val="49874987"/>
    <w:rsid w:val="49B85AD4"/>
    <w:rsid w:val="49FF500E"/>
    <w:rsid w:val="4A090ABD"/>
    <w:rsid w:val="4A7C585E"/>
    <w:rsid w:val="4C02538B"/>
    <w:rsid w:val="4C661386"/>
    <w:rsid w:val="4CEF53E5"/>
    <w:rsid w:val="4EBA1767"/>
    <w:rsid w:val="50766997"/>
    <w:rsid w:val="50CE7C08"/>
    <w:rsid w:val="52CA5724"/>
    <w:rsid w:val="536F1793"/>
    <w:rsid w:val="53E11F8E"/>
    <w:rsid w:val="556B0343"/>
    <w:rsid w:val="55B42C0A"/>
    <w:rsid w:val="56026263"/>
    <w:rsid w:val="56D01AE8"/>
    <w:rsid w:val="56E9489D"/>
    <w:rsid w:val="5744437D"/>
    <w:rsid w:val="574E1C45"/>
    <w:rsid w:val="578223C6"/>
    <w:rsid w:val="58C2515F"/>
    <w:rsid w:val="593E1911"/>
    <w:rsid w:val="59BB58D0"/>
    <w:rsid w:val="5ACB5424"/>
    <w:rsid w:val="5B410F90"/>
    <w:rsid w:val="5BBF79FD"/>
    <w:rsid w:val="5BEE76B0"/>
    <w:rsid w:val="5C212B36"/>
    <w:rsid w:val="5C7610FE"/>
    <w:rsid w:val="5CE93D4A"/>
    <w:rsid w:val="5D9E22BE"/>
    <w:rsid w:val="5DA63035"/>
    <w:rsid w:val="5DB35F88"/>
    <w:rsid w:val="5DD9588B"/>
    <w:rsid w:val="5DD95D6A"/>
    <w:rsid w:val="5DE618CE"/>
    <w:rsid w:val="5E25560A"/>
    <w:rsid w:val="5EA12B9A"/>
    <w:rsid w:val="5EB30D04"/>
    <w:rsid w:val="6016437E"/>
    <w:rsid w:val="60510DC9"/>
    <w:rsid w:val="60C11730"/>
    <w:rsid w:val="60D73480"/>
    <w:rsid w:val="610B77DC"/>
    <w:rsid w:val="618F7DA1"/>
    <w:rsid w:val="61B26F54"/>
    <w:rsid w:val="61BB584A"/>
    <w:rsid w:val="623D17D1"/>
    <w:rsid w:val="629042E0"/>
    <w:rsid w:val="630228D7"/>
    <w:rsid w:val="64CE54CA"/>
    <w:rsid w:val="65922A06"/>
    <w:rsid w:val="65C31127"/>
    <w:rsid w:val="65ED76F3"/>
    <w:rsid w:val="66477A0A"/>
    <w:rsid w:val="66780237"/>
    <w:rsid w:val="67127677"/>
    <w:rsid w:val="672126BF"/>
    <w:rsid w:val="67293151"/>
    <w:rsid w:val="68A13467"/>
    <w:rsid w:val="69EC0103"/>
    <w:rsid w:val="6A6D5548"/>
    <w:rsid w:val="6AD42F16"/>
    <w:rsid w:val="6ADD3162"/>
    <w:rsid w:val="6B2A3D7C"/>
    <w:rsid w:val="6D394630"/>
    <w:rsid w:val="6DD51C2C"/>
    <w:rsid w:val="6DE04217"/>
    <w:rsid w:val="6E4C7F64"/>
    <w:rsid w:val="6EF54649"/>
    <w:rsid w:val="6EFB5A49"/>
    <w:rsid w:val="708F5CE8"/>
    <w:rsid w:val="70B87701"/>
    <w:rsid w:val="71132C45"/>
    <w:rsid w:val="71764239"/>
    <w:rsid w:val="718965A6"/>
    <w:rsid w:val="718E17BF"/>
    <w:rsid w:val="722B4BCB"/>
    <w:rsid w:val="74E1215C"/>
    <w:rsid w:val="751A1721"/>
    <w:rsid w:val="77393AAD"/>
    <w:rsid w:val="777D19F5"/>
    <w:rsid w:val="77B86625"/>
    <w:rsid w:val="77CB0585"/>
    <w:rsid w:val="78AA2262"/>
    <w:rsid w:val="78B26451"/>
    <w:rsid w:val="79AB5C8F"/>
    <w:rsid w:val="7A144B62"/>
    <w:rsid w:val="7B53416D"/>
    <w:rsid w:val="7C0D225F"/>
    <w:rsid w:val="7CDF6DCF"/>
    <w:rsid w:val="7D5151E7"/>
    <w:rsid w:val="7DDA6681"/>
    <w:rsid w:val="7E377C65"/>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Plain Text"/>
    <w:basedOn w:val="1"/>
    <w:qFormat/>
    <w:uiPriority w:val="99"/>
    <w:rPr>
      <w:rFonts w:ascii="宋体" w:hAnsi="Courier New"/>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314</Words>
  <Characters>1794</Characters>
  <Lines>14</Lines>
  <Paragraphs>4</Paragraphs>
  <TotalTime>13</TotalTime>
  <ScaleCrop>false</ScaleCrop>
  <LinksUpToDate>false</LinksUpToDate>
  <CharactersWithSpaces>2104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2020-04-30T03:13:24Z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