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0011-2017-2020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大庆市鑫吉盛石油设备有限公司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2020年04月29日 上午至2020年04月30日 下午 (共2.0天)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