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昭通亮风台信息科技有限公司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李林</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余家龙</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Q:实习审核员</w:t>
            </w:r>
          </w:p>
          <w:p>
            <w:pPr>
              <w:spacing w:line="240" w:lineRule="exact"/>
              <w:jc w:val="center"/>
              <w:rPr>
                <w:b/>
                <w:color w:val="000000" w:themeColor="text1"/>
                <w:sz w:val="20"/>
                <w:szCs w:val="20"/>
              </w:rPr>
            </w:pPr>
            <w:r>
              <w:rPr>
                <w:b/>
                <w:color w:val="000000" w:themeColor="text1"/>
                <w:sz w:val="20"/>
                <w:szCs w:val="20"/>
              </w:rPr>
              <w:t>E:实习审核员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Q:33.02.01</w:t>
            </w:r>
          </w:p>
          <w:p>
            <w:pPr>
              <w:spacing w:line="240" w:lineRule="exact"/>
              <w:jc w:val="center"/>
              <w:rPr>
                <w:b/>
                <w:color w:val="000000" w:themeColor="text1"/>
                <w:sz w:val="20"/>
                <w:szCs w:val="20"/>
              </w:rPr>
            </w:pPr>
            <w:r>
              <w:rPr>
                <w:b/>
                <w:color w:val="000000" w:themeColor="text1"/>
                <w:sz w:val="20"/>
                <w:szCs w:val="20"/>
              </w:rPr>
              <w:t>E:33.02.01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 19001-2016idtISO 9001:2015,E：GB/T 24001-2016idtISO 14001:2015</w:t>
      </w:r>
      <w:bookmarkEnd w:id="4"/>
    </w:p>
    <w:p>
      <w:pPr>
        <w:pStyle w:val="12"/>
        <w:numPr>
          <w:ilvl w:val="0"/>
          <w:numId w:val="1"/>
        </w:numPr>
        <w:ind w:left="-142" w:hanging="709" w:firstLineChars="0"/>
        <w:rPr>
          <w:rFonts w:hint="eastAsia"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昭通亮风台信息科技有限公司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30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云南省昭通市鲁甸县茨院乡板板房村</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657000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jc w:val="center"/>
              <w:rPr>
                <w:rFonts w:ascii="宋体" w:hAnsi="宋体"/>
                <w:b/>
                <w:color w:val="000000" w:themeColor="text1"/>
                <w:sz w:val="20"/>
                <w:szCs w:val="20"/>
              </w:rPr>
            </w:pPr>
            <w:bookmarkStart w:id="9" w:name="办公地址"/>
            <w:r>
              <w:rPr>
                <w:rFonts w:ascii="宋体" w:hAnsi="宋体"/>
                <w:b/>
                <w:color w:val="000000" w:themeColor="text1"/>
                <w:sz w:val="20"/>
                <w:szCs w:val="20"/>
              </w:rPr>
              <w:t>昭通市昭阳区鲁甸路御峰云府13栋2楼</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657000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代懿航</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0870-2231999</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王迅</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jc w:val="center"/>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王迅</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李国庆</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Q：软件开发（人工智能整体解决方案提供）</w:t>
            </w:r>
          </w:p>
          <w:p>
            <w:pPr>
              <w:spacing w:line="320" w:lineRule="exact"/>
              <w:rPr>
                <w:rFonts w:ascii="宋体" w:hAnsi="宋体"/>
                <w:b/>
                <w:color w:val="000000" w:themeColor="text1"/>
                <w:sz w:val="20"/>
                <w:szCs w:val="20"/>
              </w:rPr>
            </w:pPr>
            <w:r>
              <w:rPr>
                <w:rFonts w:ascii="宋体" w:hAnsi="宋体"/>
                <w:b/>
                <w:color w:val="000000" w:themeColor="text1"/>
                <w:sz w:val="20"/>
                <w:szCs w:val="20"/>
              </w:rPr>
              <w:t>E：软件开发（人工智能整体解决方案提供）所涉及的相关环境管理活动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Q：33.02.01</w:t>
            </w:r>
          </w:p>
          <w:p>
            <w:pPr>
              <w:spacing w:line="320" w:lineRule="exact"/>
              <w:rPr>
                <w:rFonts w:ascii="宋体" w:hAnsi="宋体"/>
                <w:b/>
                <w:color w:val="000000" w:themeColor="text1"/>
                <w:sz w:val="20"/>
                <w:szCs w:val="20"/>
              </w:rPr>
            </w:pPr>
            <w:r>
              <w:rPr>
                <w:rFonts w:ascii="宋体" w:hAnsi="宋体"/>
                <w:b/>
                <w:color w:val="000000" w:themeColor="text1"/>
                <w:sz w:val="20"/>
                <w:szCs w:val="20"/>
              </w:rPr>
              <w:t>E：33.02.01</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2019-11-25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7" w:hRule="atLeas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行政部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方针、目标管理；文件、记录控制程；管理评审；内审管理；人员、部门职能职责和权限；风险识别评价管理；环境因素识别评价管理。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数据平台</w:t>
            </w:r>
            <w:r>
              <w:rPr>
                <w:rFonts w:hint="eastAsia" w:ascii="宋体" w:hAnsi="宋体"/>
                <w:b/>
                <w:color w:val="000000" w:themeColor="text1"/>
                <w:sz w:val="20"/>
                <w:szCs w:val="20"/>
              </w:rPr>
              <w:t>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不合格品控制；纠正和预防措施控制；策划管理；过程监控管理；产品验收管理；监视和测量设备管理；过程管理；设备设施管理</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产品研发；产品验收管理；监视和测量设备管理；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营销部</w:t>
            </w:r>
          </w:p>
        </w:tc>
        <w:tc>
          <w:tcPr>
            <w:tcW w:w="6804" w:type="dxa"/>
            <w:vAlign w:val="top"/>
          </w:tcPr>
          <w:p>
            <w:pPr>
              <w:jc w:val="left"/>
              <w:rPr>
                <w:rFonts w:hint="eastAsia"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合同管理；客户管理</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采购管理；供方管理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ascii="宋体" w:hAnsi="宋体"/>
                <w:szCs w:val="21"/>
              </w:rPr>
              <w:t>软件开发（人工智能整体解决方案提供）</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r>
              <w:rPr>
                <w:rFonts w:hint="eastAsia" w:ascii="宋体" w:hAnsi="宋体" w:eastAsia="宋体" w:cs="宋体"/>
                <w:szCs w:val="21"/>
                <w:lang w:val="en-US" w:eastAsia="zh-CN"/>
              </w:rPr>
              <w:t>计算机软件开发规范GB8566-88、计算机软件单元测试GB/T 15532-95、计算机软件测试编制指南GB/ T9386-88、计算机软件需求说明编制指南GB/T 9385-88等</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2019年11月25日至2020年04月30日</w:t>
      </w:r>
      <w:r>
        <w:rPr>
          <w:rFonts w:hint="eastAsia"/>
          <w:b/>
          <w:color w:val="000000" w:themeColor="text1"/>
          <w:spacing w:val="-10"/>
          <w:szCs w:val="21"/>
        </w:rPr>
        <w:t>。</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ascii="宋体" w:hAnsi="宋体"/>
                <w:b/>
                <w:color w:val="000000" w:themeColor="text1"/>
                <w:sz w:val="20"/>
                <w:szCs w:val="20"/>
              </w:rPr>
              <w:t>■质量/■环境（组织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ind w:firstLine="420" w:firstLineChars="200"/>
              <w:jc w:val="left"/>
              <w:rPr>
                <w:rFonts w:hint="eastAsia" w:ascii="宋体" w:hAnsi="宋体"/>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pPr>
              <w:jc w:val="left"/>
              <w:rPr>
                <w:rFonts w:hint="default" w:ascii="宋体" w:hAnsi="宋体" w:eastAsia="宋体"/>
                <w:color w:val="000000" w:themeColor="text1"/>
                <w:lang w:val="en-US" w:eastAsia="zh-CN"/>
              </w:rPr>
            </w:pPr>
            <w:r>
              <w:rPr>
                <w:rFonts w:hint="eastAsia" w:ascii="宋体" w:hAnsi="宋体"/>
                <w:color w:val="000000" w:themeColor="text1"/>
                <w:lang w:val="en-US" w:eastAsia="zh-CN"/>
              </w:rPr>
              <w:t>管理方针：</w:t>
            </w:r>
          </w:p>
          <w:p>
            <w:pPr>
              <w:spacing w:line="400" w:lineRule="exact"/>
              <w:ind w:firstLine="420" w:firstLineChars="200"/>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以稳定品质、完善服务、持续改进、满足顾客需求；</w:t>
            </w:r>
          </w:p>
          <w:p>
            <w:pPr>
              <w:spacing w:line="360" w:lineRule="auto"/>
              <w:ind w:firstLine="420" w:firstLineChars="200"/>
              <w:jc w:val="left"/>
              <w:rPr>
                <w:b/>
                <w:color w:val="000000" w:themeColor="text1"/>
              </w:rPr>
            </w:pPr>
            <w:r>
              <w:rPr>
                <w:rFonts w:hint="eastAsia" w:ascii="Times New Roman" w:hAnsi="Times New Roman" w:cs="Times New Roman"/>
                <w:color w:val="auto"/>
                <w:sz w:val="21"/>
                <w:szCs w:val="21"/>
                <w:lang w:val="en-US" w:eastAsia="zh-CN"/>
              </w:rPr>
              <w:t>以安全生产、保护环境、守法诚信、体现社会责任。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2"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highlight w:val="none"/>
              </w:rPr>
            </w:pPr>
            <w:r>
              <w:rPr>
                <w:rFonts w:hint="eastAsia"/>
                <w:b/>
                <w:color w:val="000000" w:themeColor="text1"/>
                <w:sz w:val="20"/>
                <w:szCs w:val="20"/>
              </w:rPr>
              <w:t>5.</w:t>
            </w:r>
            <w:r>
              <w:rPr>
                <w:b/>
                <w:color w:val="000000" w:themeColor="text1"/>
                <w:sz w:val="20"/>
                <w:szCs w:val="20"/>
                <w:highlight w:val="none"/>
              </w:rPr>
              <w:t>QMS</w:t>
            </w:r>
            <w:r>
              <w:rPr>
                <w:rFonts w:hint="eastAsia" w:ascii="宋体" w:hAnsi="宋体"/>
                <w:b/>
                <w:color w:val="000000" w:themeColor="text1"/>
                <w:sz w:val="20"/>
                <w:szCs w:val="20"/>
                <w:highlight w:val="none"/>
              </w:rPr>
              <w:t>过程</w:t>
            </w:r>
          </w:p>
          <w:p>
            <w:pPr>
              <w:tabs>
                <w:tab w:val="left" w:pos="540"/>
              </w:tabs>
              <w:spacing w:line="300" w:lineRule="exact"/>
              <w:ind w:left="201" w:hanging="201" w:hangingChars="100"/>
              <w:rPr>
                <w:rFonts w:ascii="宋体" w:hAnsi="宋体"/>
                <w:b/>
                <w:color w:val="000000" w:themeColor="text1"/>
                <w:sz w:val="20"/>
                <w:szCs w:val="20"/>
                <w:highlight w:val="none"/>
                <w:u w:val="single"/>
              </w:rPr>
            </w:pPr>
            <w:r>
              <w:rPr>
                <w:rFonts w:hint="eastAsia" w:ascii="宋体" w:hAnsi="宋体"/>
                <w:b/>
                <w:color w:val="000000" w:themeColor="text1"/>
                <w:sz w:val="20"/>
                <w:szCs w:val="20"/>
                <w:highlight w:val="none"/>
              </w:rPr>
              <w:t>质量管理体系过程有：合同评审、采购、研发过程等。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lang w:val="en-US" w:eastAsia="zh-CN"/>
              </w:rPr>
              <w:t>研发</w:t>
            </w:r>
            <w:r>
              <w:rPr>
                <w:rFonts w:hint="eastAsia" w:ascii="宋体" w:hAnsi="宋体"/>
                <w:b/>
                <w:color w:val="000000" w:themeColor="text1"/>
                <w:sz w:val="20"/>
                <w:szCs w:val="20"/>
              </w:rPr>
              <w:t xml:space="preserve">过程 </w:t>
            </w:r>
          </w:p>
          <w:p>
            <w:pPr>
              <w:tabs>
                <w:tab w:val="left" w:pos="540"/>
              </w:tabs>
              <w:spacing w:line="300" w:lineRule="exact"/>
              <w:ind w:left="201" w:hanging="201" w:hangingChars="100"/>
              <w:rPr>
                <w:rFonts w:ascii="宋体" w:hAnsi="宋体"/>
                <w:b/>
                <w:color w:val="000000" w:themeColor="text1"/>
                <w:szCs w:val="21"/>
              </w:rPr>
            </w:pPr>
            <w:r>
              <w:rPr>
                <w:rFonts w:ascii="宋体" w:hAnsi="宋体"/>
                <w:b/>
                <w:color w:val="000000" w:themeColor="text1"/>
                <w:sz w:val="20"/>
                <w:szCs w:val="20"/>
              </w:rPr>
              <w:pict>
                <v:shape id="_x0000_s2051" o:spid="_x0000_s2051" o:spt="32" type="#_x0000_t32" style="position:absolute;left:0pt;margin-left:55.15pt;margin-top:12.75pt;height:0pt;width:42pt;z-index:251671552;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无</w:t>
            </w:r>
            <w:r>
              <w:rPr>
                <w:rFonts w:hint="eastAsia" w:ascii="宋体" w:hAnsi="宋体"/>
                <w:b/>
                <w:color w:val="000000" w:themeColor="text1"/>
                <w:sz w:val="20"/>
                <w:szCs w:val="20"/>
              </w:rPr>
              <w:t xml:space="preserve">     ，不适用理由：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15"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sz w:val="21"/>
                <w:szCs w:val="21"/>
              </w:rPr>
            </w:pPr>
            <w:r>
              <w:rPr>
                <w:rFonts w:hint="eastAsia"/>
                <w:lang w:val="en-US" w:eastAsia="zh-CN"/>
              </w:rPr>
              <w:t>7</w:t>
            </w:r>
            <w:r>
              <w:rPr>
                <w:rFonts w:ascii="宋体" w:hAnsi="宋体"/>
                <w:b/>
                <w:sz w:val="21"/>
                <w:szCs w:val="21"/>
              </w:rPr>
              <w:t xml:space="preserve">.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tabs>
                <w:tab w:val="left" w:pos="1220"/>
              </w:tabs>
              <w:bidi w:val="0"/>
              <w:jc w:val="left"/>
              <w:rPr>
                <w:rFonts w:hint="eastAsia"/>
                <w:lang w:val="en-US" w:eastAsia="zh-CN"/>
              </w:rPr>
            </w:pPr>
            <w:r>
              <w:rPr>
                <w:rFonts w:hint="eastAsia" w:ascii="宋体" w:hAnsi="宋体"/>
                <w:b/>
                <w:sz w:val="21"/>
                <w:szCs w:val="21"/>
              </w:rPr>
              <w:t>（职业健康安全危险源辨识是否充分、风险评价合理性，以及风险评价动态变更的及时性等）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lang w:val="en-US" w:eastAsia="zh-CN"/>
              </w:rPr>
              <w:t>8</w:t>
            </w:r>
            <w:r>
              <w:rPr>
                <w:rFonts w:hint="eastAsia"/>
                <w:b/>
                <w:color w:val="000000" w:themeColor="text1"/>
                <w:szCs w:val="21"/>
              </w:rPr>
              <w:t xml:space="preserve">. </w:t>
            </w:r>
            <w:r>
              <w:rPr>
                <w:rFonts w:hint="eastAsia" w:ascii="宋体" w:hAnsi="宋体"/>
                <w:b/>
                <w:color w:val="000000" w:themeColor="text1"/>
                <w:spacing w:val="-4"/>
                <w:szCs w:val="21"/>
              </w:rPr>
              <w:t>法律法规及其他要求</w:t>
            </w:r>
          </w:p>
          <w:p>
            <w:pPr>
              <w:tabs>
                <w:tab w:val="left" w:pos="540"/>
              </w:tabs>
              <w:spacing w:line="300" w:lineRule="exact"/>
              <w:rPr>
                <w:rFonts w:ascii="宋体" w:hAnsi="宋体"/>
                <w:b/>
                <w:color w:val="000000" w:themeColor="text1"/>
                <w:szCs w:val="21"/>
              </w:rPr>
            </w:pPr>
          </w:p>
          <w:p>
            <w:pPr>
              <w:pStyle w:val="12"/>
              <w:numPr>
                <w:ilvl w:val="0"/>
                <w:numId w:val="2"/>
              </w:numPr>
              <w:tabs>
                <w:tab w:val="left" w:pos="540"/>
              </w:tabs>
              <w:spacing w:line="300" w:lineRule="exact"/>
              <w:ind w:firstLineChars="0"/>
              <w:rPr>
                <w:rFonts w:hint="eastAsia" w:ascii="宋体" w:hAnsi="宋体" w:cs="Times New Roman"/>
                <w:b/>
                <w:color w:val="000000" w:themeColor="text1"/>
                <w:szCs w:val="21"/>
              </w:rPr>
            </w:pPr>
            <w:r>
              <w:rPr>
                <w:rFonts w:hint="eastAsia" w:ascii="宋体" w:hAnsi="宋体" w:cs="Times New Roman"/>
                <w:b/>
                <w:color w:val="000000" w:themeColor="text1"/>
                <w:szCs w:val="21"/>
              </w:rPr>
              <w:t>获取法律法规项，■法律法规获取充分，□法律法规获取有遗漏，缺少</w:t>
            </w:r>
          </w:p>
          <w:p>
            <w:pPr>
              <w:pStyle w:val="12"/>
              <w:numPr>
                <w:ilvl w:val="0"/>
                <w:numId w:val="2"/>
              </w:numPr>
              <w:tabs>
                <w:tab w:val="left" w:pos="540"/>
              </w:tabs>
              <w:spacing w:line="300" w:lineRule="exact"/>
              <w:ind w:firstLineChars="0"/>
              <w:rPr>
                <w:rFonts w:hint="eastAsia" w:ascii="宋体" w:hAnsi="宋体" w:cs="Times New Roman"/>
                <w:b/>
                <w:color w:val="000000" w:themeColor="text1"/>
                <w:szCs w:val="21"/>
              </w:rPr>
            </w:pPr>
            <w:r>
              <w:rPr>
                <w:rFonts w:hint="eastAsia" w:ascii="宋体" w:hAnsi="宋体" w:cs="Times New Roman"/>
                <w:b/>
                <w:color w:val="000000" w:themeColor="text1"/>
                <w:szCs w:val="21"/>
              </w:rPr>
              <w:t>结合公司的■产品/服务■环境因素，■确定 □未确定法律法规要求的具体条款，</w:t>
            </w:r>
          </w:p>
          <w:p>
            <w:pPr>
              <w:pStyle w:val="12"/>
              <w:numPr>
                <w:ilvl w:val="0"/>
                <w:numId w:val="2"/>
              </w:numPr>
              <w:tabs>
                <w:tab w:val="left" w:pos="540"/>
              </w:tabs>
              <w:spacing w:line="300" w:lineRule="exact"/>
              <w:ind w:firstLineChars="0"/>
              <w:rPr>
                <w:rFonts w:hint="eastAsia" w:ascii="宋体" w:hAnsi="宋体" w:cs="Times New Roman"/>
                <w:b/>
                <w:color w:val="000000" w:themeColor="text1"/>
                <w:szCs w:val="21"/>
              </w:rPr>
            </w:pPr>
            <w:r>
              <w:rPr>
                <w:rFonts w:hint="eastAsia" w:ascii="宋体" w:hAnsi="宋体" w:cs="Times New Roman"/>
                <w:b/>
                <w:color w:val="000000" w:themeColor="text1"/>
                <w:szCs w:val="21"/>
              </w:rPr>
              <w:t>法律法规的宣传方式：培训、会议、张贴。</w:t>
            </w:r>
          </w:p>
          <w:p>
            <w:pPr>
              <w:pStyle w:val="12"/>
              <w:numPr>
                <w:ilvl w:val="0"/>
                <w:numId w:val="2"/>
              </w:numPr>
              <w:tabs>
                <w:tab w:val="left" w:pos="540"/>
              </w:tabs>
              <w:spacing w:line="300" w:lineRule="exact"/>
              <w:ind w:firstLineChars="0"/>
              <w:rPr>
                <w:rFonts w:hint="eastAsia" w:ascii="宋体" w:hAnsi="宋体" w:cs="Times New Roman"/>
                <w:b/>
                <w:color w:val="000000" w:themeColor="text1"/>
                <w:szCs w:val="21"/>
              </w:rPr>
            </w:pPr>
            <w:r>
              <w:rPr>
                <w:rFonts w:hint="eastAsia" w:ascii="宋体" w:hAnsi="宋体" w:cs="Times New Roman"/>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w:t>
            </w:r>
            <w:bookmarkStart w:id="21" w:name="_GoBack"/>
            <w:r>
              <w:rPr>
                <w:rFonts w:hint="eastAsia" w:ascii="宋体" w:hAnsi="宋体" w:cs="宋体"/>
                <w:color w:val="000000"/>
                <w:kern w:val="0"/>
                <w:szCs w:val="21"/>
              </w:rPr>
              <w:t>对目标进行了测量，总体已达到或超过了规定的目标值，但质量目标的数据分析利用不到位</w:t>
            </w:r>
          </w:p>
          <w:p>
            <w:pPr>
              <w:spacing w:line="30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rPr>
              <w:t>公司质量环境目标为：</w:t>
            </w:r>
          </w:p>
          <w:p>
            <w:pPr>
              <w:spacing w:line="300" w:lineRule="exact"/>
              <w:ind w:firstLine="420" w:firstLineChars="200"/>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1）、</w:t>
            </w:r>
            <w:r>
              <w:rPr>
                <w:rFonts w:hint="eastAsia" w:ascii="宋体" w:hAnsi="宋体" w:cs="宋体"/>
                <w:color w:val="000000"/>
                <w:kern w:val="0"/>
                <w:szCs w:val="21"/>
              </w:rPr>
              <w:t>产品研发合格率100%</w:t>
            </w:r>
            <w:r>
              <w:rPr>
                <w:rFonts w:hint="eastAsia" w:ascii="宋体" w:hAnsi="宋体" w:cs="宋体"/>
                <w:color w:val="000000"/>
                <w:kern w:val="0"/>
                <w:szCs w:val="21"/>
                <w:lang w:eastAsia="zh-CN"/>
              </w:rPr>
              <w:t>；</w:t>
            </w:r>
          </w:p>
          <w:p>
            <w:pPr>
              <w:spacing w:line="300" w:lineRule="exact"/>
              <w:ind w:firstLine="420" w:firstLineChars="200"/>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2）、</w:t>
            </w:r>
            <w:r>
              <w:rPr>
                <w:rFonts w:hint="eastAsia" w:ascii="宋体" w:hAnsi="宋体" w:cs="宋体"/>
                <w:color w:val="000000"/>
                <w:kern w:val="0"/>
                <w:szCs w:val="21"/>
              </w:rPr>
              <w:t>客户满意度≥90分</w:t>
            </w:r>
            <w:r>
              <w:rPr>
                <w:rFonts w:hint="eastAsia" w:ascii="宋体" w:hAnsi="宋体" w:cs="宋体"/>
                <w:color w:val="000000"/>
                <w:kern w:val="0"/>
                <w:szCs w:val="21"/>
                <w:lang w:eastAsia="zh-CN"/>
              </w:rPr>
              <w:t>；</w:t>
            </w:r>
          </w:p>
          <w:p>
            <w:pPr>
              <w:spacing w:line="300" w:lineRule="exact"/>
              <w:ind w:firstLine="420" w:firstLineChars="200"/>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3）、</w:t>
            </w:r>
            <w:r>
              <w:rPr>
                <w:rFonts w:hint="eastAsia" w:ascii="宋体" w:hAnsi="宋体" w:cs="宋体"/>
                <w:color w:val="000000"/>
                <w:kern w:val="0"/>
                <w:szCs w:val="21"/>
              </w:rPr>
              <w:t>对固体废弃物100%处理</w:t>
            </w:r>
            <w:r>
              <w:rPr>
                <w:rFonts w:hint="eastAsia" w:ascii="宋体" w:hAnsi="宋体" w:cs="宋体"/>
                <w:color w:val="000000"/>
                <w:kern w:val="0"/>
                <w:szCs w:val="21"/>
                <w:lang w:eastAsia="zh-CN"/>
              </w:rPr>
              <w:t>；</w:t>
            </w:r>
          </w:p>
          <w:p>
            <w:pPr>
              <w:spacing w:line="30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lang w:val="en-US" w:eastAsia="zh-CN"/>
              </w:rPr>
              <w:t>4）、</w:t>
            </w:r>
            <w:r>
              <w:rPr>
                <w:rFonts w:hint="eastAsia" w:ascii="宋体" w:hAnsi="宋体" w:cs="宋体"/>
                <w:color w:val="000000"/>
                <w:kern w:val="0"/>
                <w:szCs w:val="21"/>
              </w:rPr>
              <w:t>火灾事故发生率为0</w:t>
            </w:r>
            <w:r>
              <w:rPr>
                <w:rFonts w:hint="eastAsia" w:ascii="宋体" w:hAnsi="宋体" w:cs="宋体"/>
                <w:color w:val="000000"/>
                <w:kern w:val="0"/>
                <w:szCs w:val="21"/>
                <w:lang w:eastAsia="zh-CN"/>
              </w:rPr>
              <w:t>。</w:t>
            </w:r>
          </w:p>
          <w:bookmarkEnd w:id="21"/>
          <w:p>
            <w:pPr>
              <w:spacing w:line="360" w:lineRule="auto"/>
              <w:ind w:firstLine="422" w:firstLineChars="200"/>
              <w:rPr>
                <w:rFonts w:ascii="宋体" w:hAnsi="宋体"/>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s="宋体"/>
                <w:color w:val="000000" w:themeColor="text1"/>
                <w:lang w:val="en-US" w:eastAsia="zh-CN"/>
              </w:rPr>
              <w:t>质量、</w:t>
            </w:r>
            <w:r>
              <w:rPr>
                <w:rFonts w:hint="eastAsia" w:ascii="宋体" w:hAnsi="宋体"/>
                <w:color w:val="000000" w:themeColor="text1"/>
              </w:rPr>
              <w:t>环境</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 xml:space="preserve">2019 </w:t>
            </w:r>
            <w:r>
              <w:rPr>
                <w:rFonts w:hint="eastAsia" w:ascii="宋体" w:hAnsi="宋体" w:cs="宋体"/>
                <w:color w:val="000000" w:themeColor="text1"/>
              </w:rPr>
              <w:t>年</w:t>
            </w:r>
            <w:r>
              <w:rPr>
                <w:rFonts w:hint="eastAsia" w:ascii="宋体" w:hAnsi="宋体" w:cs="宋体"/>
                <w:color w:val="000000" w:themeColor="text1"/>
                <w:lang w:val="en-US" w:eastAsia="zh-CN"/>
              </w:rPr>
              <w:t>11</w:t>
            </w:r>
            <w:r>
              <w:rPr>
                <w:rFonts w:hint="eastAsia" w:ascii="宋体" w:hAnsi="宋体" w:cs="宋体"/>
                <w:color w:val="000000" w:themeColor="text1"/>
              </w:rPr>
              <w:t>月</w:t>
            </w:r>
            <w:r>
              <w:rPr>
                <w:rFonts w:hint="eastAsia" w:ascii="宋体" w:hAnsi="宋体" w:cs="宋体"/>
                <w:color w:val="000000" w:themeColor="text1"/>
                <w:lang w:val="en-US" w:eastAsia="zh-CN"/>
              </w:rPr>
              <w:t>25</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w:t>
            </w:r>
            <w:r>
              <w:rPr>
                <w:rFonts w:hint="eastAsia" w:ascii="宋体" w:hAnsi="宋体"/>
                <w:szCs w:val="21"/>
              </w:rPr>
              <w:t>软件开发（人工智能整体解决方案提供）</w:t>
            </w:r>
            <w:r>
              <w:rPr>
                <w:rFonts w:hint="eastAsia" w:ascii="宋体" w:hAnsi="宋体"/>
                <w:bCs/>
                <w:iCs/>
                <w:szCs w:val="22"/>
              </w:rPr>
              <w:t>相关</w:t>
            </w:r>
            <w:r>
              <w:rPr>
                <w:rFonts w:hint="eastAsia" w:ascii="宋体" w:hAnsi="宋体"/>
                <w:bCs/>
                <w:iCs/>
                <w:szCs w:val="22"/>
                <w:lang w:val="en-US" w:eastAsia="zh-CN"/>
              </w:rPr>
              <w:t>的</w:t>
            </w:r>
            <w:r>
              <w:rPr>
                <w:rFonts w:hint="eastAsia" w:ascii="宋体" w:hAnsi="宋体"/>
                <w:bCs/>
                <w:iCs/>
                <w:szCs w:val="22"/>
              </w:rPr>
              <w:t>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ind w:firstLine="420" w:firstLineChars="200"/>
              <w:rPr>
                <w:rFonts w:ascii="宋体" w:hAnsi="宋体"/>
                <w:b/>
                <w:color w:val="000000" w:themeColor="text1"/>
                <w:sz w:val="20"/>
                <w:szCs w:val="20"/>
              </w:rPr>
            </w:pPr>
            <w:r>
              <w:rPr>
                <w:rFonts w:hint="eastAsia" w:ascii="宋体" w:hAnsi="宋体" w:cs="宋体"/>
                <w:szCs w:val="21"/>
              </w:rPr>
              <w:t>办公面积</w:t>
            </w:r>
            <w:r>
              <w:rPr>
                <w:rFonts w:hint="eastAsia" w:ascii="宋体" w:hAnsi="宋体" w:cs="宋体"/>
                <w:szCs w:val="21"/>
                <w:lang w:val="en-US" w:eastAsia="zh-CN"/>
              </w:rPr>
              <w:t>100</w:t>
            </w:r>
            <w:r>
              <w:rPr>
                <w:rFonts w:hint="eastAsia" w:ascii="宋体" w:hAnsi="宋体" w:cs="宋体"/>
                <w:szCs w:val="21"/>
              </w:rPr>
              <w:t>平方米左右，主要生产设备包括：</w:t>
            </w:r>
            <w:r>
              <w:rPr>
                <w:rFonts w:hint="eastAsia" w:ascii="宋体" w:hAnsi="宋体" w:cs="宋体"/>
                <w:szCs w:val="21"/>
                <w:lang w:val="en-US" w:eastAsia="zh-CN"/>
              </w:rPr>
              <w:t>笔记本电脑、台式电脑、打印机、华三交换机、服务器等37台套</w:t>
            </w:r>
            <w:r>
              <w:rPr>
                <w:rFonts w:hint="eastAsia" w:ascii="宋体" w:hAnsi="宋体" w:cs="宋体"/>
                <w:szCs w:val="21"/>
              </w:rPr>
              <w:t>，可以满足软件开发（人工智能整体解决方案提供）</w:t>
            </w:r>
            <w:r>
              <w:rPr>
                <w:rFonts w:hint="eastAsia" w:ascii="宋体" w:hAnsi="宋体" w:cs="宋体"/>
                <w:szCs w:val="21"/>
                <w:lang w:val="en-US" w:eastAsia="zh-CN"/>
              </w:rPr>
              <w:t>的</w:t>
            </w:r>
            <w:r>
              <w:rPr>
                <w:rFonts w:hint="eastAsia" w:ascii="宋体" w:hAnsi="宋体" w:cs="宋体"/>
                <w:szCs w:val="21"/>
              </w:rPr>
              <w:t>需要。特种设备：无。公司未建立信息管理系统用于生产和服务。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rPr>
              <w:t>办公和作业所场设备布置合理，通道畅通，照明设施齐全，均配备了消防设施等设施。办公室明亮，作业场所光线较充足。每月由行政部对工作环境进行定期检查。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监视和测量资源</w:t>
            </w:r>
          </w:p>
          <w:p>
            <w:pPr>
              <w:spacing w:line="240" w:lineRule="exact"/>
              <w:ind w:firstLine="420" w:firstLineChars="200"/>
              <w:rPr>
                <w:rFonts w:ascii="宋体" w:hAnsi="宋体"/>
                <w:b/>
                <w:color w:val="000000" w:themeColor="text1"/>
                <w:sz w:val="20"/>
                <w:szCs w:val="20"/>
              </w:rPr>
            </w:pPr>
            <w:r>
              <w:rPr>
                <w:rFonts w:hint="eastAsia" w:ascii="宋体" w:hAnsi="宋体" w:cs="宋体"/>
                <w:color w:val="000000"/>
                <w:szCs w:val="21"/>
                <w:highlight w:val="none"/>
              </w:rPr>
              <w:t xml:space="preserve">接口测试：postman、jmeter。自动化：编程语言python+selenium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sz w:val="20"/>
                <w:szCs w:val="20"/>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720" w:type="dxa"/>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eastAsia="宋体"/>
                <w:sz w:val="20"/>
                <w:szCs w:val="20"/>
                <w:lang w:val="en-US" w:eastAsia="zh-CN"/>
              </w:rPr>
            </w:pPr>
            <w:r>
              <w:rPr>
                <w:rFonts w:hint="eastAsia" w:ascii="宋体" w:hAnsi="宋体"/>
                <w:b/>
                <w:sz w:val="21"/>
                <w:szCs w:val="21"/>
              </w:rPr>
              <w:t>职业健康安全设施：</w:t>
            </w: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外部信息的接收、成文并答复的情况（E、S填写）：对会议通知和规定等登记处理</w:t>
            </w:r>
          </w:p>
          <w:p>
            <w:pPr>
              <w:spacing w:line="240" w:lineRule="exact"/>
              <w:rPr>
                <w:rFonts w:ascii="楷体_GB2312" w:eastAsia="楷体_GB2312"/>
                <w:b/>
                <w:color w:val="000000" w:themeColor="text1"/>
                <w:sz w:val="20"/>
                <w:szCs w:val="20"/>
              </w:rPr>
            </w:pPr>
          </w:p>
          <w:p>
            <w:pPr>
              <w:spacing w:line="240" w:lineRule="exact"/>
              <w:rPr>
                <w:szCs w:val="21"/>
              </w:rPr>
            </w:pPr>
            <w:r>
              <w:rPr>
                <w:rFonts w:hint="eastAsia" w:ascii="楷体_GB2312" w:eastAsia="楷体_GB2312"/>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验收规范、验收报告等。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60" w:lineRule="auto"/>
              <w:ind w:firstLine="210" w:firstLineChars="100"/>
              <w:rPr>
                <w:rFonts w:ascii="宋体" w:hAnsi="宋体" w:cs="宋体"/>
                <w:szCs w:val="21"/>
              </w:rPr>
            </w:pPr>
            <w:r>
              <w:rPr>
                <w:rFonts w:hint="eastAsia" w:ascii="宋体" w:hAnsi="宋体" w:cs="宋体"/>
                <w:szCs w:val="21"/>
              </w:rPr>
              <w:t>无</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lang w:val="en-US" w:eastAsia="zh-CN"/>
              </w:rPr>
              <w:t>远程</w:t>
            </w:r>
            <w:r>
              <w:rPr>
                <w:rFonts w:hint="eastAsia" w:ascii="宋体" w:hAnsi="宋体" w:cs="宋体"/>
                <w:color w:val="000000"/>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tabs>
                <w:tab w:val="left" w:pos="2552"/>
              </w:tabs>
              <w:spacing w:line="360" w:lineRule="exact"/>
              <w:ind w:firstLine="315" w:firstLineChars="150"/>
              <w:rPr>
                <w:rFonts w:asciiTheme="minorEastAsia" w:hAnsiTheme="minorEastAsia" w:eastAsiaTheme="minorEastAsia"/>
                <w:bCs/>
                <w:iCs/>
              </w:rPr>
            </w:pPr>
            <w:r>
              <w:rPr>
                <w:rFonts w:hint="eastAsia" w:asciiTheme="minorEastAsia" w:hAnsiTheme="minorEastAsia" w:eastAsiaTheme="minorEastAsia"/>
                <w:bCs/>
                <w:iCs/>
              </w:rPr>
              <w:t>组织重要环境因素为固废排放和潜在火灾，需要应对的风险和机遇相关的过程为</w:t>
            </w:r>
            <w:r>
              <w:rPr>
                <w:rFonts w:hint="eastAsia" w:asciiTheme="minorEastAsia" w:hAnsiTheme="minorEastAsia" w:eastAsiaTheme="minorEastAsia"/>
                <w:bCs/>
                <w:iCs/>
                <w:lang w:val="en-US" w:eastAsia="zh-CN"/>
              </w:rPr>
              <w:t>设计开发</w:t>
            </w:r>
            <w:r>
              <w:rPr>
                <w:rFonts w:hint="eastAsia" w:asciiTheme="minorEastAsia" w:hAnsiTheme="minorEastAsia" w:eastAsiaTheme="minorEastAsia"/>
                <w:bCs/>
                <w:iCs/>
              </w:rPr>
              <w:t>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ascii="宋体" w:hAnsi="宋体"/>
                <w:b/>
                <w:sz w:val="21"/>
                <w:szCs w:val="21"/>
              </w:rPr>
              <w:t>8. OHSMS</w:t>
            </w:r>
            <w:r>
              <w:rPr>
                <w:rFonts w:hint="eastAsia" w:ascii="宋体" w:hAnsi="宋体"/>
                <w:b/>
                <w:sz w:val="21"/>
                <w:szCs w:val="21"/>
              </w:rPr>
              <w:t>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lang w:val="en-US" w:eastAsia="zh-CN"/>
              </w:rPr>
              <w:t>9</w:t>
            </w:r>
            <w:r>
              <w:rPr>
                <w:rFonts w:hint="eastAsia"/>
                <w:b/>
                <w:color w:val="000000" w:themeColor="text1"/>
                <w:sz w:val="20"/>
                <w:szCs w:val="20"/>
              </w:rPr>
              <w:t xml:space="preserve">. 应急准备与相应活动的演练及对预案可行性的评价(当有规定时) </w:t>
            </w:r>
          </w:p>
          <w:p>
            <w:pPr>
              <w:spacing w:line="240" w:lineRule="exact"/>
              <w:ind w:firstLine="420" w:firstLineChars="200"/>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Cs/>
                <w:iCs/>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lang w:val="en-US" w:eastAsia="zh-CN"/>
              </w:rPr>
              <w:t>10.</w:t>
            </w:r>
            <w:r>
              <w:rPr>
                <w:rFonts w:hint="eastAsia"/>
                <w:b/>
                <w:color w:val="000000" w:themeColor="text1"/>
                <w:sz w:val="20"/>
                <w:szCs w:val="20"/>
              </w:rPr>
              <w:t xml:space="preserve"> 对特种设备的维护; </w:t>
            </w:r>
            <w:r>
              <w:rPr>
                <w:rFonts w:hint="eastAsia"/>
                <w:b/>
                <w:sz w:val="20"/>
                <w:szCs w:val="20"/>
              </w:rPr>
              <w:t>（适用时）</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sz w:val="20"/>
                <w:szCs w:val="20"/>
              </w:rPr>
              <w:t>1</w:t>
            </w:r>
            <w:r>
              <w:rPr>
                <w:rFonts w:hint="eastAsia"/>
                <w:b/>
                <w:sz w:val="20"/>
                <w:szCs w:val="20"/>
                <w:lang w:val="en-US" w:eastAsia="zh-CN"/>
              </w:rPr>
              <w:t>1</w:t>
            </w:r>
            <w:r>
              <w:rPr>
                <w:rFonts w:hint="eastAsia"/>
                <w:b/>
                <w:sz w:val="20"/>
                <w:szCs w:val="20"/>
              </w:rPr>
              <w:t xml:space="preserve"> .对危险化学品销售、使用、储存、运输处置，规定的执行力度(必要时); （适用时）</w:t>
            </w:r>
          </w:p>
          <w:p>
            <w:pPr>
              <w:spacing w:line="240" w:lineRule="exact"/>
              <w:rPr>
                <w:sz w:val="20"/>
                <w:szCs w:val="20"/>
              </w:rPr>
            </w:pPr>
            <w:r>
              <w:rPr>
                <w:rFonts w:hint="eastAsia"/>
                <w:sz w:val="20"/>
                <w:szCs w:val="20"/>
              </w:rPr>
              <w:t>危险化学品：无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sz w:val="20"/>
                <w:szCs w:val="20"/>
              </w:rPr>
            </w:pPr>
            <w:r>
              <w:rPr>
                <w:rFonts w:hint="eastAsia"/>
                <w:b/>
                <w:sz w:val="20"/>
                <w:szCs w:val="20"/>
              </w:rPr>
              <w:t>1. .对质量/环境/职业健康安全目标指标进行定期监测/检查情况（适用时）</w:t>
            </w:r>
          </w:p>
          <w:p>
            <w:pPr>
              <w:spacing w:line="240" w:lineRule="exact"/>
              <w:ind w:firstLine="315" w:firstLineChars="150"/>
              <w:rPr>
                <w:b/>
                <w:sz w:val="20"/>
                <w:szCs w:val="20"/>
              </w:rPr>
            </w:pPr>
            <w:r>
              <w:rPr>
                <w:rFonts w:hint="eastAsia" w:ascii="宋体" w:hAnsi="宋体" w:cs="宋体"/>
                <w:szCs w:val="21"/>
              </w:rPr>
              <w:t>公司制定、发布了总体目标并分解到相关职能部门和层次，规定了目标值、计算方法、责任部门、检查人、考核频次等。同时，质量目标得</w:t>
            </w:r>
            <w:r>
              <w:rPr>
                <w:rFonts w:hint="eastAsia" w:ascii="宋体" w:hAnsi="宋体" w:cs="宋体"/>
                <w:szCs w:val="21"/>
                <w:highlight w:val="none"/>
              </w:rPr>
              <w:t>到沟通和监视评价，通过数据的汇总统计、描述性统计等方法对目标进行了测量，总体已达到或超过了规定的目标值。通过2019年</w:t>
            </w:r>
            <w:r>
              <w:rPr>
                <w:rFonts w:hint="eastAsia" w:ascii="宋体" w:hAnsi="宋体" w:cs="宋体"/>
                <w:szCs w:val="21"/>
                <w:highlight w:val="none"/>
                <w:lang w:val="en-US" w:eastAsia="zh-CN"/>
              </w:rPr>
              <w:t>12</w:t>
            </w:r>
            <w:r>
              <w:rPr>
                <w:rFonts w:hint="eastAsia" w:ascii="宋体" w:hAnsi="宋体" w:cs="宋体"/>
                <w:szCs w:val="21"/>
                <w:highlight w:val="none"/>
              </w:rPr>
              <w:t>月-</w:t>
            </w:r>
            <w:r>
              <w:rPr>
                <w:rFonts w:hint="eastAsia" w:ascii="宋体" w:hAnsi="宋体" w:cs="宋体"/>
                <w:szCs w:val="21"/>
                <w:highlight w:val="none"/>
                <w:lang w:val="en-US" w:eastAsia="zh-CN"/>
              </w:rPr>
              <w:t>2020年3</w:t>
            </w:r>
            <w:r>
              <w:rPr>
                <w:rFonts w:hint="eastAsia" w:ascii="宋体" w:hAnsi="宋体" w:cs="宋体"/>
                <w:szCs w:val="21"/>
                <w:highlight w:val="none"/>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sz w:val="20"/>
                <w:szCs w:val="20"/>
              </w:rPr>
            </w:pPr>
            <w:r>
              <w:rPr>
                <w:rFonts w:hint="eastAsia"/>
                <w:b/>
                <w:sz w:val="20"/>
                <w:szCs w:val="20"/>
              </w:rPr>
              <w:t>2.顾客满意</w:t>
            </w:r>
          </w:p>
          <w:p>
            <w:pPr>
              <w:spacing w:line="240" w:lineRule="exact"/>
              <w:ind w:left="105" w:leftChars="50" w:firstLine="315" w:firstLineChars="150"/>
              <w:rPr>
                <w:b/>
                <w:sz w:val="20"/>
                <w:szCs w:val="20"/>
              </w:rPr>
            </w:pPr>
            <w:r>
              <w:rPr>
                <w:rFonts w:hint="eastAsia" w:ascii="宋体" w:hAnsi="宋体" w:cs="宋体"/>
                <w:szCs w:val="21"/>
              </w:rPr>
              <w:t>公司建立了顾客满意度监视和测量控制程序，对</w:t>
            </w:r>
            <w:r>
              <w:rPr>
                <w:rFonts w:hint="eastAsia" w:ascii="宋体" w:hAnsi="宋体" w:cs="宋体"/>
                <w:szCs w:val="21"/>
                <w:highlight w:val="none"/>
              </w:rPr>
              <w:t>顾客投诉处理及顾客满意度评价做了明确的规定，并按规定对顾客反馈及时处理，但在顾客反馈信息的利用上不够，需要改善。近年来未发生重大顾客投诉和产品质量事故。顾客满意度调查按规定实施，20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3</w:t>
            </w:r>
            <w:r>
              <w:rPr>
                <w:rFonts w:hint="eastAsia" w:ascii="宋体" w:hAnsi="宋体" w:cs="宋体"/>
                <w:szCs w:val="21"/>
                <w:highlight w:val="none"/>
              </w:rPr>
              <w:t>月实施，满意度评价</w:t>
            </w:r>
            <w:r>
              <w:rPr>
                <w:rFonts w:hint="eastAsia" w:ascii="宋体" w:hAnsi="宋体" w:cs="宋体"/>
                <w:szCs w:val="21"/>
                <w:highlight w:val="none"/>
                <w:lang w:val="en-US" w:eastAsia="zh-CN"/>
              </w:rPr>
              <w:t>100</w:t>
            </w:r>
            <w:r>
              <w:rPr>
                <w:rFonts w:hint="eastAsia" w:ascii="宋体" w:hAnsi="宋体" w:cs="宋体"/>
                <w:szCs w:val="21"/>
                <w:highlight w:val="none"/>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ind w:firstLine="420" w:firstLineChars="200"/>
              <w:rPr>
                <w:rFonts w:hint="default"/>
                <w:b/>
                <w:sz w:val="20"/>
                <w:szCs w:val="20"/>
                <w:lang w:val="en-US"/>
              </w:rPr>
            </w:pPr>
            <w:r>
              <w:rPr>
                <w:rFonts w:hint="eastAsia" w:ascii="宋体" w:hAnsi="宋体" w:cs="宋体"/>
                <w:szCs w:val="21"/>
              </w:rPr>
              <w:t>建立有《内部审核控制程序》，规定了内审频次一年一次，内审时间：20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03</w:t>
            </w:r>
            <w:r>
              <w:rPr>
                <w:rFonts w:hint="eastAsia" w:ascii="宋体" w:hAnsi="宋体" w:cs="宋体"/>
                <w:szCs w:val="21"/>
              </w:rPr>
              <w:t>月</w:t>
            </w:r>
            <w:r>
              <w:rPr>
                <w:rFonts w:hint="eastAsia" w:ascii="宋体" w:hAnsi="宋体" w:cs="宋体"/>
                <w:szCs w:val="21"/>
                <w:lang w:val="en-US" w:eastAsia="zh-CN"/>
              </w:rPr>
              <w:t>04日</w:t>
            </w:r>
            <w:r>
              <w:rPr>
                <w:rFonts w:hint="eastAsia" w:ascii="宋体" w:hAnsi="宋体" w:cs="宋体"/>
                <w:szCs w:val="21"/>
              </w:rPr>
              <w:t>，拟定了审核实施表，明确了内审范围，内审人员经培训合格上岗，能力满足要求，未出现审核本部门情况，内审不符合项2项，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rFonts w:hint="eastAsia" w:ascii="宋体" w:hAnsi="宋体" w:cs="宋体"/>
                <w:szCs w:val="21"/>
              </w:rPr>
            </w:pPr>
            <w:r>
              <w:rPr>
                <w:rFonts w:hint="eastAsia" w:ascii="宋体" w:hAnsi="宋体" w:cs="宋体"/>
                <w:szCs w:val="21"/>
              </w:rPr>
              <w:t>管理评审频次为一年一次、本次管理评审于20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03</w:t>
            </w:r>
            <w:r>
              <w:rPr>
                <w:rFonts w:hint="eastAsia" w:ascii="宋体" w:hAnsi="宋体" w:cs="宋体"/>
                <w:szCs w:val="21"/>
              </w:rPr>
              <w:t>月</w:t>
            </w:r>
            <w:r>
              <w:rPr>
                <w:rFonts w:hint="eastAsia" w:ascii="宋体" w:hAnsi="宋体" w:cs="宋体"/>
                <w:szCs w:val="21"/>
                <w:lang w:val="en-US" w:eastAsia="zh-CN"/>
              </w:rPr>
              <w:t>25</w:t>
            </w:r>
            <w:r>
              <w:rPr>
                <w:rFonts w:hint="eastAsia" w:ascii="宋体" w:hAnsi="宋体" w:cs="宋体"/>
                <w:szCs w:val="21"/>
              </w:rPr>
              <w:t>日由总经理主持完成、提供主要输入材料有各部门总结，输入信息基本充分和满足要求。输出见“管理评审报告”, 做出了管理体系基本适宜、充分和有效的评审结论。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sz w:val="20"/>
                <w:szCs w:val="20"/>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7. 其他能够标明组织绩效、信誉的证据/信息：</w:t>
            </w:r>
          </w:p>
          <w:p>
            <w:pPr>
              <w:widowControl/>
              <w:spacing w:line="240" w:lineRule="exact"/>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60" w:lineRule="auto"/>
        <w:ind w:left="1" w:leftChars="-472" w:hanging="992" w:hangingChars="380"/>
        <w:rPr>
          <w:rFonts w:hint="eastAsia" w:ascii="Times New Roman" w:hAnsi="Times New Roman" w:cs="Times New Roman"/>
          <w:b/>
          <w:color w:val="000000" w:themeColor="text1"/>
          <w:sz w:val="26"/>
          <w:szCs w:val="26"/>
        </w:rPr>
      </w:pPr>
      <w:r>
        <w:rPr>
          <w:rFonts w:hint="eastAsia" w:ascii="Times New Roman" w:hAnsi="Times New Roman" w:cs="Times New Roman"/>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2052"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spacing w:line="360" w:lineRule="auto"/>
        <w:ind w:left="1" w:leftChars="-472" w:hanging="992" w:hangingChars="380"/>
        <w:rPr>
          <w:rFonts w:hint="eastAsia" w:ascii="Times New Roman" w:hAnsi="Times New Roman" w:cs="Times New Roman"/>
          <w:b/>
          <w:color w:val="000000" w:themeColor="text1"/>
          <w:sz w:val="26"/>
          <w:szCs w:val="26"/>
        </w:rPr>
      </w:pPr>
      <w:r>
        <w:rPr>
          <w:rFonts w:hint="eastAsia" w:ascii="Times New Roman" w:hAnsi="Times New Roman" w:cs="Times New Roman"/>
          <w:b/>
          <w:color w:val="000000" w:themeColor="text1"/>
          <w:sz w:val="26"/>
          <w:szCs w:val="26"/>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pacing w:line="360" w:lineRule="auto"/>
        <w:ind w:left="1" w:leftChars="-472" w:hanging="992" w:hangingChars="380"/>
        <w:rPr>
          <w:rFonts w:hint="eastAsia" w:ascii="Times New Roman" w:hAnsi="Times New Roman" w:cs="Times New Roman"/>
          <w:b/>
          <w:color w:val="000000" w:themeColor="text1"/>
          <w:sz w:val="26"/>
          <w:szCs w:val="26"/>
        </w:rPr>
      </w:pPr>
      <w:r>
        <w:rPr>
          <w:rFonts w:hint="eastAsia" w:ascii="Times New Roman" w:hAnsi="Times New Roman" w:cs="Times New Roman"/>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4"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lang w:eastAsia="zh-CN"/>
              </w:rPr>
              <w:t>☑</w:t>
            </w:r>
            <w:r>
              <w:rPr>
                <w:rFonts w:hint="eastAsia"/>
                <w:b/>
                <w:color w:val="000000" w:themeColor="text1"/>
                <w:sz w:val="22"/>
                <w:szCs w:val="22"/>
              </w:rPr>
              <w:t xml:space="preserve">QMS  </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2"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16"/>
          <w:szCs w:val="1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eastAsia="宋体"/>
          <w:b/>
          <w:color w:val="000000" w:themeColor="text1"/>
          <w:sz w:val="26"/>
          <w:szCs w:val="26"/>
          <w:lang w:eastAsia="zh-CN"/>
        </w:rPr>
        <w:drawing>
          <wp:anchor distT="0" distB="0" distL="114300" distR="114300" simplePos="0" relativeHeight="251672576" behindDoc="0" locked="0" layoutInCell="1" allowOverlap="1">
            <wp:simplePos x="0" y="0"/>
            <wp:positionH relativeFrom="column">
              <wp:posOffset>1793240</wp:posOffset>
            </wp:positionH>
            <wp:positionV relativeFrom="paragraph">
              <wp:posOffset>221615</wp:posOffset>
            </wp:positionV>
            <wp:extent cx="646430" cy="457200"/>
            <wp:effectExtent l="0" t="0" r="1270" b="0"/>
            <wp:wrapSquare wrapText="bothSides"/>
            <wp:docPr id="3" name="图片 3"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李林签名"/>
                    <pic:cNvPicPr>
                      <a:picLocks noChangeAspect="1"/>
                    </pic:cNvPicPr>
                  </pic:nvPicPr>
                  <pic:blipFill>
                    <a:blip r:embed="rId6"/>
                    <a:stretch>
                      <a:fillRect/>
                    </a:stretch>
                  </pic:blipFill>
                  <pic:spPr>
                    <a:xfrm>
                      <a:off x="0" y="0"/>
                      <a:ext cx="646430" cy="457200"/>
                    </a:xfrm>
                    <a:prstGeom prst="rect">
                      <a:avLst/>
                    </a:prstGeom>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rFonts w:hint="eastAsia" w:eastAsia="宋体"/>
          <w:b/>
          <w:color w:val="000000" w:themeColor="text1"/>
          <w:sz w:val="26"/>
          <w:szCs w:val="26"/>
          <w:lang w:eastAsia="zh-CN"/>
        </w:rPr>
      </w:pPr>
      <w:r>
        <w:rPr>
          <w:rFonts w:hint="eastAsia"/>
          <w:b/>
          <w:color w:val="000000" w:themeColor="text1"/>
          <w:sz w:val="26"/>
          <w:szCs w:val="26"/>
        </w:rPr>
        <w:t>审核组组长（签名）：</w:t>
      </w:r>
    </w:p>
    <w:p>
      <w:pPr>
        <w:snapToGrid w:val="0"/>
        <w:spacing w:before="156" w:beforeLines="50" w:line="360" w:lineRule="auto"/>
        <w:ind w:firstLine="550" w:firstLineChars="250"/>
        <w:rPr>
          <w:b/>
          <w:color w:val="000000" w:themeColor="text1"/>
        </w:rPr>
      </w:pPr>
      <w:r>
        <w:rPr>
          <w:rFonts w:hint="eastAsia" w:eastAsia="宋体"/>
          <w:sz w:val="22"/>
          <w:szCs w:val="22"/>
          <w:lang w:eastAsia="zh-CN"/>
        </w:rPr>
        <w:drawing>
          <wp:anchor distT="0" distB="0" distL="114300" distR="114300" simplePos="0" relativeHeight="251675648" behindDoc="0" locked="0" layoutInCell="1" allowOverlap="1">
            <wp:simplePos x="0" y="0"/>
            <wp:positionH relativeFrom="column">
              <wp:posOffset>1810385</wp:posOffset>
            </wp:positionH>
            <wp:positionV relativeFrom="paragraph">
              <wp:posOffset>81280</wp:posOffset>
            </wp:positionV>
            <wp:extent cx="753110" cy="400685"/>
            <wp:effectExtent l="0" t="0" r="0" b="18415"/>
            <wp:wrapSquare wrapText="bothSides"/>
            <wp:docPr id="4" name="图片 4" descr="余家龙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余家龙电子签名"/>
                    <pic:cNvPicPr>
                      <a:picLocks noChangeAspect="1"/>
                    </pic:cNvPicPr>
                  </pic:nvPicPr>
                  <pic:blipFill>
                    <a:blip r:embed="rId7"/>
                    <a:stretch>
                      <a:fillRect/>
                    </a:stretch>
                  </pic:blipFill>
                  <pic:spPr>
                    <a:xfrm>
                      <a:off x="0" y="0"/>
                      <a:ext cx="753110" cy="400685"/>
                    </a:xfrm>
                    <a:prstGeom prst="rect">
                      <a:avLst/>
                    </a:prstGeom>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4765" w:firstLineChars="2260"/>
        <w:rPr>
          <w:rFonts w:hint="default" w:eastAsia="宋体"/>
          <w:b/>
          <w:color w:val="000000" w:themeColor="text1"/>
          <w:sz w:val="16"/>
          <w:szCs w:val="16"/>
          <w:lang w:val="en-US" w:eastAsia="zh-CN"/>
        </w:rPr>
      </w:pPr>
      <w:r>
        <w:rPr>
          <w:rFonts w:hint="eastAsia"/>
          <w:b/>
          <w:color w:val="000000" w:themeColor="text1"/>
        </w:rPr>
        <w:t>日期</w:t>
      </w:r>
      <w:r>
        <w:rPr>
          <w:rFonts w:hint="eastAsia"/>
          <w:b/>
          <w:color w:val="000000" w:themeColor="text1"/>
          <w:lang w:eastAsia="zh-CN"/>
        </w:rPr>
        <w:t>：</w:t>
      </w:r>
      <w:r>
        <w:rPr>
          <w:rFonts w:hint="eastAsia" w:asciiTheme="minorEastAsia" w:hAnsiTheme="minorEastAsia" w:eastAsiaTheme="minorEastAsia"/>
          <w:b/>
          <w:color w:val="000000" w:themeColor="text1"/>
          <w:lang w:val="en-US" w:eastAsia="zh-CN"/>
        </w:rPr>
        <w:t>2020年04月30日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ind w:firstLine="422" w:firstLineChars="200"/>
        <w:jc w:val="center"/>
        <w:rPr>
          <w:b/>
          <w:color w:val="000000" w:themeColor="text1"/>
          <w:szCs w:val="21"/>
        </w:rPr>
      </w:pPr>
      <w:r>
        <w:rPr>
          <w:rFonts w:hint="eastAsia"/>
          <w:b/>
          <w:color w:val="000000" w:themeColor="text1"/>
          <w:szCs w:val="21"/>
        </w:rPr>
        <w:drawing>
          <wp:anchor distT="0" distB="0" distL="114300" distR="114300" simplePos="0" relativeHeight="251673600" behindDoc="0" locked="0" layoutInCell="1" allowOverlap="1">
            <wp:simplePos x="0" y="0"/>
            <wp:positionH relativeFrom="column">
              <wp:posOffset>1404620</wp:posOffset>
            </wp:positionH>
            <wp:positionV relativeFrom="paragraph">
              <wp:posOffset>83820</wp:posOffset>
            </wp:positionV>
            <wp:extent cx="511810" cy="361950"/>
            <wp:effectExtent l="0" t="0" r="2540" b="0"/>
            <wp:wrapSquare wrapText="bothSides"/>
            <wp:docPr id="6" name="图片 6"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李林签名"/>
                    <pic:cNvPicPr>
                      <a:picLocks noChangeAspect="1"/>
                    </pic:cNvPicPr>
                  </pic:nvPicPr>
                  <pic:blipFill>
                    <a:blip r:embed="rId6"/>
                    <a:stretch>
                      <a:fillRect/>
                    </a:stretch>
                  </pic:blipFill>
                  <pic:spPr>
                    <a:xfrm>
                      <a:off x="0" y="0"/>
                      <a:ext cx="511810" cy="361950"/>
                    </a:xfrm>
                    <a:prstGeom prst="rect">
                      <a:avLst/>
                    </a:prstGeom>
                  </pic:spPr>
                </pic:pic>
              </a:graphicData>
            </a:graphic>
          </wp:anchor>
        </w:drawing>
      </w:r>
      <w:r>
        <w:rPr>
          <w:rFonts w:hint="eastAsia"/>
          <w:b/>
          <w:color w:val="000000" w:themeColor="text1"/>
          <w:szCs w:val="21"/>
        </w:rPr>
        <w:t xml:space="preserve">组长签字:                               </w:t>
      </w:r>
      <w:r>
        <w:rPr>
          <w:rFonts w:hint="eastAsia"/>
          <w:b/>
          <w:color w:val="000000" w:themeColor="text1"/>
          <w:szCs w:val="21"/>
          <w:lang w:val="en-US" w:eastAsia="zh-CN"/>
        </w:rPr>
        <w:t xml:space="preserve"> </w:t>
      </w:r>
      <w:r>
        <w:rPr>
          <w:rFonts w:hint="eastAsia"/>
          <w:b/>
          <w:color w:val="000000" w:themeColor="text1"/>
          <w:szCs w:val="21"/>
        </w:rPr>
        <w:t xml:space="preserve">日期:   </w:t>
      </w:r>
      <w:r>
        <w:rPr>
          <w:rFonts w:hint="eastAsia"/>
          <w:b/>
          <w:color w:val="000000" w:themeColor="text1"/>
          <w:szCs w:val="21"/>
          <w:lang w:val="en-US" w:eastAsia="zh-CN"/>
        </w:rPr>
        <w:t xml:space="preserve">   </w:t>
      </w:r>
      <w:r>
        <w:rPr>
          <w:rFonts w:hint="eastAsia"/>
          <w:b/>
          <w:color w:val="000000" w:themeColor="text1"/>
          <w:szCs w:val="21"/>
        </w:rPr>
        <w:t xml:space="preserve">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3"/>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szCs w:val="21"/>
        </w:rPr>
        <w:t xml:space="preserve">                         </w:t>
      </w:r>
      <w:r>
        <w:rPr>
          <w:rFonts w:hint="eastAsia"/>
          <w:b/>
          <w:color w:val="000000" w:themeColor="text1"/>
          <w:szCs w:val="21"/>
          <w:lang w:val="en-US" w:eastAsia="zh-CN"/>
        </w:rPr>
        <w:t xml:space="preserve">    </w:t>
      </w:r>
      <w:r>
        <w:rPr>
          <w:rFonts w:hint="eastAsia"/>
          <w:b/>
          <w:color w:val="000000" w:themeColor="text1"/>
          <w:szCs w:val="21"/>
        </w:rPr>
        <w:t xml:space="preserve">   日期:   </w:t>
      </w:r>
      <w:r>
        <w:rPr>
          <w:rFonts w:hint="eastAsia"/>
          <w:b/>
          <w:color w:val="000000" w:themeColor="text1"/>
          <w:szCs w:val="21"/>
          <w:lang w:val="en-US" w:eastAsia="zh-CN"/>
        </w:rPr>
        <w:t xml:space="preserve">   </w:t>
      </w:r>
      <w:r>
        <w:rPr>
          <w:rFonts w:hint="eastAsia"/>
          <w:b/>
          <w:color w:val="000000" w:themeColor="text1"/>
          <w:szCs w:val="21"/>
        </w:rPr>
        <w:t xml:space="preserve">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numPr>
          <w:ilvl w:val="0"/>
          <w:numId w:val="3"/>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rFonts w:hint="eastAsia"/>
          <w:b/>
          <w:color w:val="000000" w:themeColor="text1"/>
          <w:szCs w:val="2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szCs w:val="21"/>
        </w:rPr>
        <w:t xml:space="preserve">                           日期:   </w:t>
      </w:r>
      <w:r>
        <w:rPr>
          <w:rFonts w:hint="eastAsia"/>
          <w:b/>
          <w:color w:val="000000" w:themeColor="text1"/>
          <w:szCs w:val="21"/>
          <w:lang w:val="en-US" w:eastAsia="zh-CN"/>
        </w:rPr>
        <w:t xml:space="preserve">   </w:t>
      </w:r>
      <w:r>
        <w:rPr>
          <w:rFonts w:hint="eastAsia"/>
          <w:b/>
          <w:color w:val="000000" w:themeColor="text1"/>
          <w:szCs w:val="21"/>
        </w:rPr>
        <w:t xml:space="preserve">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pacing w:line="360" w:lineRule="auto"/>
        <w:ind w:left="0" w:leftChars="-405" w:hanging="850" w:hangingChars="403"/>
        <w:rPr>
          <w:rFonts w:hint="default"/>
          <w:b/>
          <w:color w:val="000000" w:themeColor="text1"/>
          <w:szCs w:val="21"/>
          <w:lang w:val="en-US" w:eastAsia="zh-CN"/>
        </w:rPr>
      </w:pPr>
    </w:p>
    <w:p>
      <w:pPr>
        <w:snapToGrid w:val="0"/>
        <w:spacing w:line="360" w:lineRule="auto"/>
        <w:ind w:left="202" w:leftChars="-405" w:hanging="1052" w:hangingChars="403"/>
        <w:rPr>
          <w:b/>
          <w:color w:val="000000" w:themeColor="text1"/>
          <w:szCs w:val="21"/>
          <w:u w:val="single"/>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20"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20"/>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4D0655"/>
    <w:rsid w:val="02A0030D"/>
    <w:rsid w:val="035C0CB3"/>
    <w:rsid w:val="0C996F93"/>
    <w:rsid w:val="0E6C0866"/>
    <w:rsid w:val="1075500F"/>
    <w:rsid w:val="138955B6"/>
    <w:rsid w:val="13CC0700"/>
    <w:rsid w:val="152B3B2F"/>
    <w:rsid w:val="159D391E"/>
    <w:rsid w:val="16857508"/>
    <w:rsid w:val="1905573D"/>
    <w:rsid w:val="235F622D"/>
    <w:rsid w:val="26666BD9"/>
    <w:rsid w:val="2AB53289"/>
    <w:rsid w:val="2F8F5FFB"/>
    <w:rsid w:val="331470B9"/>
    <w:rsid w:val="33F00BA1"/>
    <w:rsid w:val="35743E3F"/>
    <w:rsid w:val="35FE6623"/>
    <w:rsid w:val="38C04734"/>
    <w:rsid w:val="3E4B659D"/>
    <w:rsid w:val="3E501C7E"/>
    <w:rsid w:val="3EC45B0D"/>
    <w:rsid w:val="437E4E6E"/>
    <w:rsid w:val="47797180"/>
    <w:rsid w:val="4C817129"/>
    <w:rsid w:val="4CD36241"/>
    <w:rsid w:val="52C93309"/>
    <w:rsid w:val="5929197E"/>
    <w:rsid w:val="7689046A"/>
    <w:rsid w:val="77526789"/>
    <w:rsid w:val="786169C6"/>
    <w:rsid w:val="79640136"/>
    <w:rsid w:val="7A212CF4"/>
    <w:rsid w:val="7B7803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2"/>
    <w:basedOn w:val="1"/>
    <w:qFormat/>
    <w:uiPriority w:val="0"/>
    <w:pPr>
      <w:spacing w:after="120" w:afterLines="0" w:afterAutospacing="0" w:line="480" w:lineRule="auto"/>
    </w:pPr>
  </w:style>
  <w:style w:type="paragraph" w:styleId="4">
    <w:name w:val="Balloon Text"/>
    <w:basedOn w:val="1"/>
    <w:link w:val="15"/>
    <w:semiHidden/>
    <w:unhideWhenUsed/>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6"/>
    <w:qFormat/>
    <w:uiPriority w:val="99"/>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0</TotalTime>
  <ScaleCrop>false</ScaleCrop>
  <LinksUpToDate>false</LinksUpToDate>
  <CharactersWithSpaces>5143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路人甲</cp:lastModifiedBy>
  <cp:lastPrinted>2019-05-13T03:19:00Z</cp:lastPrinted>
  <dcterms:modified xsi:type="dcterms:W3CDTF">2020-04-29T08:37:30Z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