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90"/>
        <w:gridCol w:w="1063"/>
        <w:gridCol w:w="6"/>
        <w:gridCol w:w="567"/>
        <w:gridCol w:w="1242"/>
        <w:gridCol w:w="75"/>
        <w:gridCol w:w="101"/>
        <w:gridCol w:w="589"/>
        <w:gridCol w:w="261"/>
        <w:gridCol w:w="496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昭通亮风台信息科技有限公司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昭通市昭阳区鲁甸路御峰云府13栋2楼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8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代懿航</w:t>
            </w:r>
            <w:bookmarkEnd w:id="2"/>
          </w:p>
        </w:tc>
        <w:tc>
          <w:tcPr>
            <w:tcW w:w="10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0870-2231999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657000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83" w:type="dxa"/>
            <w:gridSpan w:val="5"/>
            <w:vAlign w:val="center"/>
          </w:tcPr>
          <w:p>
            <w:bookmarkStart w:id="5" w:name="最高管理者"/>
            <w:bookmarkEnd w:id="5"/>
            <w:bookmarkStart w:id="6" w:name="法人"/>
            <w:r>
              <w:t>王迅</w:t>
            </w:r>
            <w:bookmarkEnd w:id="6"/>
          </w:p>
        </w:tc>
        <w:tc>
          <w:tcPr>
            <w:tcW w:w="10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www.hiscene.com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8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0159-2020-QE</w:t>
            </w:r>
            <w:bookmarkEnd w:id="9"/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Q：软件开发（人工智能整体解决方案提供）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E：软件开发（人工智能整体解决方案提供）所涉及的相关环境管理活动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Q：33.02.01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2020年04月27日 下午至2020年04月30日 上午 (共3.0天)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5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5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95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2020.04.26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2020.04.27</w:t>
            </w:r>
            <w:bookmarkStart w:id="18" w:name="_GoBack"/>
            <w:bookmarkEnd w:id="18"/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575"/>
        <w:gridCol w:w="663"/>
        <w:gridCol w:w="6700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月27日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诺;5.2方针;5.3组织的角色、职责和权限；6.1应对风险和机遇的措施；6.2目标及其实现的策划；6.3变更的策划；7.1.6组织知识；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7.1.1资源 总则；7.4沟通；9.1.1监测、分析和评价总则；9.2内部审核；9.3管理评审；10.1改进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不合格和纠正措施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导作用与承诺;5.2方针;5.3组织的角色、职责和权限；6.1.1策划总则；6.1.4措施的策划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；6.2目标及其实现的策划；7.1资源；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]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7.4沟通；9.1.1监测、分析和评估总则；9.2内部审核；9.3管理评审；10.1改进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10.3持续改进</w:t>
            </w:r>
          </w:p>
        </w:tc>
        <w:tc>
          <w:tcPr>
            <w:tcW w:w="83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月28日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/权限；6.2质量目标及其实现的策划；7.1.2人员； 7.2能力；7.3意识；7.5文件化信息；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6.1.2环境因素；6.1.3合规义务；6.2目标及其达成的策划；7.2能力；7.3意识；7.5文件化信息；8.1运行策划和控制；8.2应急准备和响应；9.1监视、测量、分析与评估；9.1.2符合性评估；10.2不符合和纠正措施；10.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3持续改进/EMS运行控制相关财务支出证据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休息1小时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/权限；6.2质量目标及其实现的策划；7.4沟通；8.2产品和服务的要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</w:t>
            </w:r>
            <w:r>
              <w:rPr>
                <w:rFonts w:hint="eastAsia" w:ascii="宋体" w:hAnsi="宋体" w:cs="新宋体"/>
                <w:sz w:val="18"/>
                <w:szCs w:val="18"/>
              </w:rPr>
              <w:t>责和权限、6.1.2环境因素；6.2目标及其达成的策划；7.4沟通；8.1运行策划和控制；8.2应急准备和响应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月29日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数据平台部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/权限；6.2质量目标及其实现的策划7.1.3基础设施；7.1.4过程运行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环境； 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cs="新宋体"/>
                <w:sz w:val="18"/>
                <w:szCs w:val="18"/>
              </w:rPr>
              <w:t>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休息1小时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数据平台部</w:t>
            </w:r>
          </w:p>
        </w:tc>
        <w:tc>
          <w:tcPr>
            <w:tcW w:w="670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7.4沟通；8.1运行策划和控制；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数据平台部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B83FCC"/>
    <w:rsid w:val="0D331CA8"/>
    <w:rsid w:val="0DC63211"/>
    <w:rsid w:val="112D40E9"/>
    <w:rsid w:val="15CB74AD"/>
    <w:rsid w:val="1921549A"/>
    <w:rsid w:val="1B022532"/>
    <w:rsid w:val="1B62472B"/>
    <w:rsid w:val="1D952312"/>
    <w:rsid w:val="1ED17BB7"/>
    <w:rsid w:val="2ACD00E4"/>
    <w:rsid w:val="2B9E18A9"/>
    <w:rsid w:val="2D6D3753"/>
    <w:rsid w:val="314B335C"/>
    <w:rsid w:val="3D7C3087"/>
    <w:rsid w:val="48F813BF"/>
    <w:rsid w:val="491C0D03"/>
    <w:rsid w:val="496F6849"/>
    <w:rsid w:val="4CD852B3"/>
    <w:rsid w:val="51B915AB"/>
    <w:rsid w:val="553A6E84"/>
    <w:rsid w:val="56CC3CAE"/>
    <w:rsid w:val="58872FBB"/>
    <w:rsid w:val="5BD14FF6"/>
    <w:rsid w:val="5EC37441"/>
    <w:rsid w:val="5FF3064D"/>
    <w:rsid w:val="6534595A"/>
    <w:rsid w:val="710250E0"/>
    <w:rsid w:val="770C6312"/>
    <w:rsid w:val="77886137"/>
    <w:rsid w:val="79E63D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2020-04-27T02:46:35Z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