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西安丹拿声学技术有限公司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18.09.00,29.12.00,</w:t>
            </w:r>
          </w:p>
          <w:p>
            <w:pPr>
              <w:spacing w:line="240" w:lineRule="exact"/>
              <w:jc w:val="center"/>
              <w:rPr>
                <w:b/>
                <w:color w:val="000000"/>
                <w:sz w:val="20"/>
                <w:szCs w:val="20"/>
              </w:rPr>
            </w:pPr>
            <w:r>
              <w:rPr>
                <w:b/>
                <w:color w:val="000000"/>
                <w:sz w:val="20"/>
                <w:szCs w:val="20"/>
              </w:rPr>
              <w:t>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受审核方管理手册第A/0</w:t>
      </w:r>
      <w:r>
        <w:rPr>
          <w:rFonts w:hint="eastAsia" w:ascii="宋体" w:hAnsi="宋体"/>
          <w:b/>
          <w:color w:val="000000"/>
          <w:spacing w:val="-10"/>
          <w:sz w:val="20"/>
          <w:szCs w:val="20"/>
        </w:rPr>
        <w:t xml:space="preserve">版; </w:t>
      </w:r>
      <w:r>
        <w:rPr>
          <w:rFonts w:hint="eastAsia" w:ascii="宋体" w:hAnsi="宋体"/>
          <w:b/>
          <w:color w:val="000000"/>
          <w:spacing w:val="-10"/>
          <w:sz w:val="20"/>
          <w:szCs w:val="20"/>
        </w:rPr>
        <w:t>程序文件第A/0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西安丹拿声学技术有限公司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西安市高新区锦业二路信凯工业园C栋205室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西安市高新区锦业二路信凯工业园C栋205室</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西安市高新区锦业二路信凯工业园C栋205室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何珊珊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18802955729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宋琪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lang w:val="en-US" w:eastAsia="zh-CN"/>
              </w:rPr>
              <w:t>2019</w:t>
            </w:r>
            <w:r>
              <w:rPr>
                <w:rFonts w:hint="eastAsia"/>
              </w:rPr>
              <w:t xml:space="preserve"> 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建筑声学材料、音响器材、智能化会议系统的销售；建筑声学的设计、技术咨询服务；灯光音响系统的设计、安装及调试；投影显示的技术咨询服务。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18.09.00;29.12.00;34.05.00;34.06.00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办公室、业务部、技术部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ascii="宋体"/>
          <w:b/>
          <w:color w:val="000000"/>
          <w:sz w:val="20"/>
          <w:szCs w:val="20"/>
        </w:rPr>
        <w:t>西安市高新区锦业二路信凯工业园C栋205室</w:t>
      </w:r>
      <w:r>
        <w:rPr>
          <w:rFonts w:hint="eastAsia" w:ascii="宋体"/>
          <w:b/>
          <w:color w:val="000000"/>
          <w:sz w:val="20"/>
          <w:szCs w:val="20"/>
          <w:lang w:eastAsia="zh-CN"/>
        </w:rPr>
        <w:t>、位于西安市航天城航腾路与神舟六路十字西南角的陕西省计量科学研究院多功能厅安装现场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服务：建筑声学材料、音响器材、智能化会议系统的销售；建筑声学的设计、技术咨询服务；灯光音响系统的设计、安装及调试；投影显示的技术咨询服务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办公室、业务部、技术部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jc w:val="left"/>
              <w:rPr>
                <w:rFonts w:ascii="宋体"/>
                <w:color w:val="000000"/>
                <w:sz w:val="20"/>
                <w:szCs w:val="20"/>
              </w:rPr>
            </w:pPr>
            <w:r>
              <w:rPr>
                <w:rFonts w:hint="eastAsia" w:ascii="宋体" w:hAnsi="宋体"/>
                <w:color w:val="000000"/>
                <w:sz w:val="20"/>
                <w:szCs w:val="20"/>
              </w:rPr>
              <w:t>位于西安市航天城航腾路与神舟六路十字西南角的陕西省计量科学研究院多功能厅安装现场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西安市高新区锦业二路信凯工业园C栋205室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产品技术标准号：《剧场、电影院和多用途厅堂建筑声学设计规范》GBT50356-2005</w:t>
            </w:r>
            <w:r>
              <w:rPr>
                <w:rFonts w:hint="eastAsia" w:ascii="宋体" w:hAnsi="宋体"/>
                <w:color w:val="000000"/>
                <w:spacing w:val="-10"/>
                <w:sz w:val="20"/>
                <w:szCs w:val="20"/>
                <w:lang w:eastAsia="zh-CN"/>
              </w:rPr>
              <w:t>、</w:t>
            </w:r>
            <w:r>
              <w:rPr>
                <w:rFonts w:hint="eastAsia" w:ascii="宋体" w:hAnsi="宋体"/>
                <w:color w:val="000000"/>
                <w:spacing w:val="-10"/>
                <w:sz w:val="20"/>
                <w:szCs w:val="20"/>
              </w:rPr>
              <w:t>《剧场建筑设计规范》JGJ57-2016</w:t>
            </w:r>
            <w:r>
              <w:rPr>
                <w:rFonts w:hint="eastAsia" w:ascii="宋体" w:hAnsi="宋体"/>
                <w:color w:val="000000"/>
                <w:spacing w:val="-10"/>
                <w:sz w:val="20"/>
                <w:szCs w:val="20"/>
                <w:lang w:eastAsia="zh-CN"/>
              </w:rPr>
              <w:t>、</w:t>
            </w:r>
            <w:r>
              <w:rPr>
                <w:rFonts w:hint="eastAsia" w:ascii="宋体" w:hAnsi="宋体"/>
                <w:color w:val="000000"/>
                <w:spacing w:val="-10"/>
                <w:sz w:val="20"/>
                <w:szCs w:val="20"/>
              </w:rPr>
              <w:t>《室内混响时间测量规范》GB/T 50076-2013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lang w:val="en-US" w:eastAsia="zh-CN"/>
              </w:rPr>
              <w:t>1</w:t>
            </w:r>
            <w:r>
              <w:rPr>
                <w:rFonts w:hint="eastAsia" w:ascii="宋体"/>
                <w:color w:val="000000"/>
                <w:sz w:val="20"/>
                <w:szCs w:val="20"/>
              </w:rPr>
              <w:t>技术咨询服务流程：现场勘查-提供解决方案-提供现场技术服务（调试、培训等）-提供后续维护保养服务；</w:t>
            </w:r>
          </w:p>
          <w:p>
            <w:pPr>
              <w:rPr>
                <w:rFonts w:hint="eastAsia" w:ascii="宋体"/>
                <w:color w:val="000000"/>
                <w:sz w:val="20"/>
                <w:szCs w:val="20"/>
              </w:rPr>
            </w:pPr>
            <w:r>
              <w:rPr>
                <w:rFonts w:hint="eastAsia" w:ascii="宋体"/>
                <w:color w:val="000000"/>
                <w:sz w:val="20"/>
                <w:szCs w:val="20"/>
                <w:lang w:val="en-US" w:eastAsia="zh-CN"/>
              </w:rPr>
              <w:t>2</w:t>
            </w:r>
            <w:r>
              <w:rPr>
                <w:rFonts w:hint="eastAsia" w:ascii="宋体"/>
                <w:color w:val="000000"/>
                <w:sz w:val="20"/>
                <w:szCs w:val="20"/>
              </w:rPr>
              <w:t>销售服务流程：与客户签订购买合同-采购物资-运抵客户验收-付款结算；</w:t>
            </w:r>
          </w:p>
          <w:p>
            <w:pPr>
              <w:rPr>
                <w:rFonts w:hint="eastAsia" w:ascii="宋体"/>
                <w:color w:val="000000"/>
                <w:sz w:val="20"/>
                <w:szCs w:val="20"/>
              </w:rPr>
            </w:pPr>
            <w:r>
              <w:rPr>
                <w:rFonts w:hint="eastAsia" w:ascii="宋体"/>
                <w:color w:val="000000"/>
                <w:sz w:val="20"/>
                <w:szCs w:val="20"/>
                <w:lang w:val="en-US" w:eastAsia="zh-CN"/>
              </w:rPr>
              <w:t>3</w:t>
            </w:r>
            <w:r>
              <w:rPr>
                <w:rFonts w:hint="eastAsia" w:ascii="宋体"/>
                <w:color w:val="000000"/>
                <w:sz w:val="20"/>
                <w:szCs w:val="20"/>
              </w:rPr>
              <w:t>设计流程：签订合同-现场勘察-设计过程-评审-验证-确认-交付-客户验收；</w:t>
            </w:r>
          </w:p>
          <w:p>
            <w:pPr>
              <w:rPr>
                <w:rFonts w:ascii="宋体"/>
                <w:color w:val="000000"/>
                <w:sz w:val="20"/>
                <w:szCs w:val="20"/>
              </w:rPr>
            </w:pPr>
            <w:r>
              <w:rPr>
                <w:rFonts w:hint="eastAsia" w:ascii="宋体"/>
                <w:color w:val="000000"/>
                <w:sz w:val="20"/>
                <w:szCs w:val="20"/>
                <w:lang w:val="en-US" w:eastAsia="zh-CN"/>
              </w:rPr>
              <w:t>4</w:t>
            </w:r>
            <w:r>
              <w:rPr>
                <w:rFonts w:hint="eastAsia" w:ascii="宋体"/>
                <w:color w:val="000000"/>
                <w:sz w:val="20"/>
                <w:szCs w:val="20"/>
              </w:rPr>
              <w:t>安装调试流程：编制安装调试方案-实施安装调试-客户验收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关键过程有：</w:t>
            </w:r>
            <w:r>
              <w:rPr>
                <w:rFonts w:hint="eastAsia" w:ascii="宋体" w:hAnsi="宋体"/>
                <w:color w:val="000000"/>
                <w:sz w:val="20"/>
                <w:szCs w:val="20"/>
                <w:lang w:val="en-US" w:eastAsia="zh-CN"/>
              </w:rPr>
              <w:t>销售、设计过程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销售作业指导书</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技术咨询服务过程、销售服务过程、设计开发过程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主要设备：声场分析仪</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电脑、测距仪、万用表、安装工具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pacing w:val="-10"/>
                <w:sz w:val="20"/>
                <w:szCs w:val="20"/>
              </w:rPr>
              <w:t>声场分析仪</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测距仪、万用表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18</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技术咨询服务场所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安装调试场所、设计开发场所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eastAsia="宋体" w:cs="Times New Roman"/>
                <w:b/>
                <w:color w:val="000000"/>
                <w:sz w:val="20"/>
                <w:szCs w:val="20"/>
                <w:lang w:eastAsia="zh-CN"/>
              </w:rPr>
            </w:pPr>
            <w:r>
              <w:rPr>
                <w:rFonts w:hint="eastAsia" w:ascii="宋体" w:hAnsi="宋体"/>
                <w:b/>
                <w:color w:val="000000"/>
                <w:sz w:val="20"/>
                <w:szCs w:val="20"/>
              </w:rPr>
              <w:t>了解内审</w:t>
            </w:r>
            <w:r>
              <w:rPr>
                <w:rFonts w:hint="eastAsia" w:ascii="宋体" w:hAnsi="宋体" w:eastAsia="宋体" w:cs="Times New Roman"/>
                <w:b/>
                <w:color w:val="000000"/>
                <w:sz w:val="20"/>
                <w:szCs w:val="20"/>
              </w:rPr>
              <w:t xml:space="preserve">的策划; </w:t>
            </w:r>
            <w:r>
              <w:rPr>
                <w:rFonts w:hint="eastAsia" w:ascii="宋体" w:hAnsi="宋体" w:eastAsia="宋体" w:cs="Times New Roman"/>
                <w:b/>
                <w:color w:val="000000"/>
                <w:sz w:val="20"/>
                <w:szCs w:val="20"/>
                <w:lang w:val="en-US" w:eastAsia="zh-CN"/>
              </w:rPr>
              <w:t>建立有</w:t>
            </w:r>
            <w:r>
              <w:rPr>
                <w:rFonts w:hint="eastAsia" w:ascii="宋体" w:hAnsi="宋体" w:eastAsia="宋体" w:cs="Times New Roman"/>
                <w:b/>
                <w:color w:val="000000"/>
                <w:sz w:val="20"/>
                <w:szCs w:val="20"/>
                <w:lang w:eastAsia="zh-CN"/>
              </w:rPr>
              <w:t>《</w:t>
            </w:r>
            <w:r>
              <w:rPr>
                <w:rFonts w:hint="eastAsia" w:ascii="宋体" w:hAnsi="宋体" w:eastAsia="宋体" w:cs="Times New Roman"/>
                <w:b/>
                <w:color w:val="000000"/>
                <w:sz w:val="20"/>
                <w:szCs w:val="20"/>
              </w:rPr>
              <w:t>内部审核控制程序</w:t>
            </w:r>
            <w:r>
              <w:rPr>
                <w:rFonts w:hint="eastAsia" w:ascii="宋体" w:hAnsi="宋体" w:eastAsia="宋体" w:cs="Times New Roman"/>
                <w:b/>
                <w:color w:val="000000"/>
                <w:sz w:val="20"/>
                <w:szCs w:val="20"/>
                <w:lang w:eastAsia="zh-CN"/>
              </w:rPr>
              <w:t>》</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见有《内部审核计划表》</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内审时间：2019年12月</w:t>
            </w:r>
            <w:r>
              <w:rPr>
                <w:rFonts w:hint="eastAsia" w:ascii="宋体" w:hAnsi="宋体" w:eastAsia="宋体" w:cs="Times New Roman"/>
                <w:b/>
                <w:color w:val="000000"/>
                <w:sz w:val="20"/>
                <w:szCs w:val="20"/>
                <w:lang w:val="en-US" w:eastAsia="zh-CN"/>
              </w:rPr>
              <w:t>15-16</w:t>
            </w:r>
            <w:r>
              <w:rPr>
                <w:rFonts w:hint="eastAsia" w:ascii="宋体" w:hAnsi="宋体" w:eastAsia="宋体" w:cs="Times New Roman"/>
                <w:b/>
                <w:color w:val="000000"/>
                <w:sz w:val="20"/>
                <w:szCs w:val="20"/>
              </w:rPr>
              <w:t xml:space="preserve">日       </w:t>
            </w:r>
          </w:p>
          <w:p>
            <w:pPr>
              <w:spacing w:line="260" w:lineRule="exact"/>
              <w:rPr>
                <w:rFonts w:hint="eastAsia" w:ascii="宋体" w:hAnsi="宋体" w:eastAsia="宋体" w:cs="Times New Roman"/>
                <w:b/>
                <w:color w:val="000000"/>
                <w:sz w:val="20"/>
                <w:szCs w:val="20"/>
                <w:lang w:eastAsia="zh-CN"/>
              </w:rPr>
            </w:pPr>
            <w:r>
              <w:rPr>
                <w:rFonts w:hint="eastAsia" w:ascii="宋体" w:hAnsi="宋体" w:eastAsia="宋体" w:cs="Times New Roman"/>
                <w:b/>
                <w:color w:val="000000"/>
                <w:sz w:val="20"/>
                <w:szCs w:val="20"/>
              </w:rPr>
              <w:t>内审组：审核组长：</w:t>
            </w:r>
            <w:r>
              <w:rPr>
                <w:rFonts w:hint="eastAsia" w:ascii="宋体" w:hAnsi="宋体" w:eastAsia="宋体" w:cs="Times New Roman"/>
                <w:b/>
                <w:color w:val="000000"/>
                <w:sz w:val="20"/>
                <w:szCs w:val="20"/>
                <w:lang w:eastAsia="zh-CN"/>
              </w:rPr>
              <w:t>刘芳</w:t>
            </w:r>
            <w:r>
              <w:rPr>
                <w:rFonts w:hint="eastAsia" w:ascii="宋体" w:hAnsi="宋体" w:eastAsia="宋体" w:cs="Times New Roman"/>
                <w:b/>
                <w:color w:val="000000"/>
                <w:sz w:val="20"/>
                <w:szCs w:val="20"/>
              </w:rPr>
              <w:t xml:space="preserve">       组员： </w:t>
            </w:r>
            <w:r>
              <w:rPr>
                <w:rFonts w:hint="eastAsia" w:ascii="宋体" w:hAnsi="宋体" w:eastAsia="宋体" w:cs="Times New Roman"/>
                <w:b/>
                <w:color w:val="000000"/>
                <w:sz w:val="20"/>
                <w:szCs w:val="20"/>
                <w:lang w:eastAsia="zh-CN"/>
              </w:rPr>
              <w:t>宋琪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eastAsia="宋体" w:cs="Times New Roman"/>
                <w:b/>
                <w:color w:val="000000"/>
                <w:sz w:val="20"/>
                <w:szCs w:val="20"/>
                <w:lang w:val="en-US" w:eastAsia="zh-CN"/>
              </w:rPr>
            </w:pPr>
            <w:r>
              <w:rPr>
                <w:rFonts w:hint="eastAsia" w:ascii="宋体" w:hAnsi="宋体" w:eastAsia="宋体" w:cs="Times New Roman"/>
                <w:b/>
                <w:color w:val="000000"/>
                <w:sz w:val="20"/>
                <w:szCs w:val="20"/>
              </w:rPr>
              <w:t xml:space="preserve">了解内审是否覆盖了管理体系范围内的活动及标准的要求; </w:t>
            </w:r>
            <w:r>
              <w:rPr>
                <w:rFonts w:hint="eastAsia" w:ascii="宋体" w:hAnsi="宋体" w:eastAsia="宋体" w:cs="Times New Roman"/>
                <w:b/>
                <w:color w:val="000000"/>
                <w:sz w:val="20"/>
                <w:szCs w:val="20"/>
                <w:lang w:val="en-US" w:eastAsia="zh-CN"/>
              </w:rPr>
              <w:t>是</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审核范围:管理体系涉及的公司所有部门、生产车间及活动场所。</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rPr>
            </w:pPr>
            <w:r>
              <w:rPr>
                <w:rFonts w:hint="eastAsia"/>
              </w:rPr>
              <w:t>了解内审结论是什么？</w:t>
            </w:r>
          </w:p>
          <w:p>
            <w:pPr>
              <w:spacing w:line="260" w:lineRule="exact"/>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19</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eastAsia="宋体"/>
                <w:lang w:val="en-US" w:eastAsia="zh-CN"/>
              </w:rPr>
            </w:pPr>
            <w:r>
              <w:rPr>
                <w:rFonts w:hint="eastAsia"/>
              </w:rPr>
              <w:t>了解管理评审输入是否充分</w:t>
            </w:r>
            <w:r>
              <w:t xml:space="preserve">; </w:t>
            </w:r>
            <w:r>
              <w:rPr>
                <w:rFonts w:hint="eastAsia"/>
                <w:lang w:val="en-US" w:eastAsia="zh-CN"/>
              </w:rPr>
              <w:t>是</w:t>
            </w:r>
          </w:p>
          <w:p>
            <w:pPr>
              <w:pStyle w:val="2"/>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1786255</wp:posOffset>
            </wp:positionH>
            <wp:positionV relativeFrom="paragraph">
              <wp:posOffset>311785</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2003425</wp:posOffset>
            </wp:positionH>
            <wp:positionV relativeFrom="paragraph">
              <wp:posOffset>-14605</wp:posOffset>
            </wp:positionV>
            <wp:extent cx="613410" cy="509270"/>
            <wp:effectExtent l="0" t="0" r="0" b="0"/>
            <wp:wrapNone/>
            <wp:docPr id="3"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郭力"/>
                    <pic:cNvPicPr>
                      <a:picLocks noChangeAspect="1"/>
                    </pic:cNvPicPr>
                  </pic:nvPicPr>
                  <pic:blipFill>
                    <a:blip r:embed="rId7"/>
                    <a:stretch>
                      <a:fillRect/>
                    </a:stretch>
                  </pic:blipFill>
                  <pic:spPr>
                    <a:xfrm>
                      <a:off x="0" y="0"/>
                      <a:ext cx="613410" cy="50927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64384" behindDoc="0" locked="0" layoutInCell="1" allowOverlap="1">
                  <wp:simplePos x="0" y="0"/>
                  <wp:positionH relativeFrom="column">
                    <wp:posOffset>558800</wp:posOffset>
                  </wp:positionH>
                  <wp:positionV relativeFrom="paragraph">
                    <wp:posOffset>33655</wp:posOffset>
                  </wp:positionV>
                  <wp:extent cx="422910" cy="335280"/>
                  <wp:effectExtent l="0" t="0" r="889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22910" cy="335280"/>
                          </a:xfrm>
                          <a:prstGeom prst="rect">
                            <a:avLst/>
                          </a:prstGeom>
                          <a:noFill/>
                          <a:ln>
                            <a:noFill/>
                          </a:ln>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128" w:type="dxa"/>
            <w:gridSpan w:val="4"/>
            <w:vAlign w:val="bottom"/>
          </w:tcPr>
          <w:p>
            <w:pPr>
              <w:spacing w:line="280" w:lineRule="exact"/>
              <w:rPr>
                <w:b/>
                <w:color w:val="000000"/>
                <w:sz w:val="22"/>
                <w:szCs w:val="22"/>
              </w:rPr>
            </w:pPr>
            <w:r>
              <w:rPr>
                <w:rFonts w:hint="eastAsia" w:ascii="宋体" w:hAnsi="宋体" w:eastAsia="宋体" w:cs="Arial"/>
                <w:szCs w:val="21"/>
                <w:lang w:eastAsia="zh-CN"/>
              </w:rPr>
              <w:drawing>
                <wp:anchor distT="0" distB="0" distL="114300" distR="114300" simplePos="0" relativeHeight="251667456" behindDoc="0" locked="0" layoutInCell="1" allowOverlap="1">
                  <wp:simplePos x="0" y="0"/>
                  <wp:positionH relativeFrom="column">
                    <wp:posOffset>926465</wp:posOffset>
                  </wp:positionH>
                  <wp:positionV relativeFrom="paragraph">
                    <wp:posOffset>13335</wp:posOffset>
                  </wp:positionV>
                  <wp:extent cx="485140" cy="329565"/>
                  <wp:effectExtent l="0" t="0" r="10160" b="635"/>
                  <wp:wrapNone/>
                  <wp:docPr id="5" name="图片 3" descr="66e32028bffd8cac86d3eef55813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66e32028bffd8cac86d3eef55813a6b"/>
                          <pic:cNvPicPr>
                            <a:picLocks noChangeAspect="1"/>
                          </pic:cNvPicPr>
                        </pic:nvPicPr>
                        <pic:blipFill>
                          <a:blip r:embed="rId8"/>
                          <a:stretch>
                            <a:fillRect/>
                          </a:stretch>
                        </pic:blipFill>
                        <pic:spPr>
                          <a:xfrm>
                            <a:off x="0" y="0"/>
                            <a:ext cx="485140" cy="329565"/>
                          </a:xfrm>
                          <a:prstGeom prst="rect">
                            <a:avLst/>
                          </a:prstGeom>
                          <a:noFill/>
                          <a:ln>
                            <a:noFill/>
                          </a:ln>
                        </pic:spPr>
                      </pic:pic>
                    </a:graphicData>
                  </a:graphic>
                </wp:anchor>
              </w:drawing>
            </w:r>
            <w:r>
              <w:rPr>
                <w:rFonts w:hint="eastAsia"/>
                <w:b/>
                <w:color w:val="000000"/>
                <w:sz w:val="22"/>
                <w:szCs w:val="22"/>
              </w:rPr>
              <w:t>受审核方确认：         日期：</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5</w:t>
            </w:r>
            <w:r>
              <w:rPr>
                <w:rFonts w:hint="eastAsia"/>
                <w:b/>
                <w:color w:val="000000"/>
                <w:sz w:val="22"/>
                <w:szCs w:val="22"/>
              </w:rPr>
              <w:t xml:space="preserve"> 月 </w:t>
            </w:r>
            <w:r>
              <w:rPr>
                <w:rFonts w:hint="eastAsia"/>
                <w:b/>
                <w:color w:val="000000"/>
                <w:sz w:val="22"/>
                <w:szCs w:val="22"/>
                <w:lang w:val="en-US" w:eastAsia="zh-CN"/>
              </w:rPr>
              <w:t>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bookmarkStart w:id="24" w:name="_GoBack"/>
            <w:bookmarkEnd w:id="24"/>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85A3D"/>
    <w:rsid w:val="04217963"/>
    <w:rsid w:val="07CB2D3C"/>
    <w:rsid w:val="0E237456"/>
    <w:rsid w:val="114258D2"/>
    <w:rsid w:val="13E7105B"/>
    <w:rsid w:val="17D5011D"/>
    <w:rsid w:val="1BA33050"/>
    <w:rsid w:val="1C9D3DE7"/>
    <w:rsid w:val="21D55813"/>
    <w:rsid w:val="24751093"/>
    <w:rsid w:val="2CF70FF2"/>
    <w:rsid w:val="2D0716DD"/>
    <w:rsid w:val="325E2AD0"/>
    <w:rsid w:val="33B14C96"/>
    <w:rsid w:val="38117CEB"/>
    <w:rsid w:val="3B2B05CF"/>
    <w:rsid w:val="42192FE2"/>
    <w:rsid w:val="4308601F"/>
    <w:rsid w:val="49A452D4"/>
    <w:rsid w:val="4EF634B7"/>
    <w:rsid w:val="505208B6"/>
    <w:rsid w:val="536F381E"/>
    <w:rsid w:val="553849CC"/>
    <w:rsid w:val="564C4473"/>
    <w:rsid w:val="60C761DF"/>
    <w:rsid w:val="637B2B9F"/>
    <w:rsid w:val="6470769D"/>
    <w:rsid w:val="65C03E45"/>
    <w:rsid w:val="68EC706C"/>
    <w:rsid w:val="69511CC4"/>
    <w:rsid w:val="77906481"/>
    <w:rsid w:val="7B9C7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2020-05-10T10:07:20Z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