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0071-2023-EnMS-2024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锐牛股份有限公司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91320206788370735T</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锐牛股份有限公司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无锡惠山经济开发区玉祁配套区（蓉东村）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无锡惠山经济开发区玉祁配套区（蓉东村）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传动橡胶带、橡胶履带的生产所涉及的能源管理活动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锐牛股份有限公司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无锡惠山经济开发区玉祁配套区（蓉东村）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无锡惠山经济开发区玉祁配套区（蓉东村）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传动橡胶带、橡胶履带的生产所涉及的能源管理活动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R197EnMS230169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无锡惠山经济开发区玉祁配套区（蓉东村）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